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highlight w:val="none"/>
          <w14:textFill>
            <w14:solidFill>
              <w14:schemeClr w14:val="tx1"/>
            </w14:solidFill>
          </w14:textFill>
        </w:rPr>
      </w:pPr>
      <w:r/>
      <w:bookmarkStart w:id="0" w:name="_Toc120614210"/>
      <w:r/>
      <w:bookmarkStart w:id="1" w:name="_Toc16938516"/>
      <w:r/>
      <w:bookmarkStart w:id="2" w:name="_Toc20823272"/>
      <w:r/>
      <w:bookmarkStart w:id="3" w:name="_Toc523127445"/>
      <w:r/>
      <w:bookmarkStart w:id="4" w:name="_Toc513029200"/>
      <w:r/>
      <w:bookmarkStart w:id="5" w:name="_Toc479757206"/>
      <w:r/>
      <w:r/>
    </w:p>
    <w:p>
      <w:pPr>
        <w:pStyle w:val="73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4"/>
        <w:ind w:firstLine="0"/>
        <w:jc w:val="center"/>
        <w:rPr>
          <w:rFonts w:eastAsia="黑体"/>
          <w:b/>
          <w:bCs/>
          <w:color w:val="000000" w:themeColor="text1"/>
          <w:sz w:val="84"/>
          <w:highlight w:val="none"/>
          <w14:textFill>
            <w14:solidFill>
              <w14:schemeClr w14:val="tx1"/>
            </w14:solidFill>
          </w14:textFill>
        </w:rPr>
      </w:pPr>
      <w:r>
        <w:rPr>
          <w:rFonts w:hint="eastAsia" w:eastAsia="黑体"/>
          <w:b/>
          <w:bCs/>
          <w:color w:val="000000" w:themeColor="text1"/>
          <w:sz w:val="84"/>
          <w:highlight w:val="none"/>
          <w14:textFill>
            <w14:solidFill>
              <w14:schemeClr w14:val="tx1"/>
            </w14:solidFill>
          </w14:textFill>
        </w:rPr>
        <w:t xml:space="preserve">招　标　文　件</w:t>
      </w:r>
      <w:r/>
    </w:p>
    <w:p>
      <w:pPr>
        <w:ind w:firstLine="1985"/>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rPr>
          <w:b/>
          <w:color w:val="000000" w:themeColor="text1"/>
          <w:sz w:val="30"/>
          <w:szCs w:val="30"/>
          <w:highlight w:val="none"/>
          <w:u w:val="singl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项目名称：</w:t>
      </w:r>
      <w:r>
        <w:rPr>
          <w:rFonts w:hint="eastAsia"/>
          <w:b/>
          <w:color w:val="000000" w:themeColor="text1"/>
          <w:sz w:val="32"/>
          <w:szCs w:val="32"/>
          <w:highlight w:val="none"/>
          <w14:textFill>
            <w14:solidFill>
              <w14:schemeClr w14:val="tx1"/>
            </w14:solidFill>
          </w14:textFill>
        </w:rPr>
        <w:t xml:space="preserve">莫愁湖公园2026年胜棋楼片区展陈品质提升项目</w:t>
      </w:r>
      <w:r/>
    </w:p>
    <w:p>
      <w:pPr>
        <w:ind w:firstLine="1985"/>
        <w:rPr>
          <w:rFonts w:hint="eastAsia" w:eastAsia="宋体"/>
          <w:b/>
          <w:color w:val="000000" w:themeColor="text1"/>
          <w:sz w:val="30"/>
          <w:szCs w:val="30"/>
          <w:highlight w:val="none"/>
          <w:lang w:eastAsia="zh-CN"/>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项目编号</w:t>
      </w:r>
      <w:r>
        <w:rPr>
          <w:rFonts w:hint="eastAsia"/>
          <w:b/>
          <w:color w:val="000000" w:themeColor="text1"/>
          <w:sz w:val="32"/>
          <w:szCs w:val="32"/>
          <w:highlight w:val="none"/>
          <w14:textFill>
            <w14:solidFill>
              <w14:schemeClr w14:val="tx1"/>
            </w14:solidFill>
          </w14:textFill>
        </w:rPr>
        <w:t xml:space="preserve">：</w:t>
      </w:r>
      <w:r>
        <w:rPr>
          <w:rFonts w:hint="eastAsia"/>
          <w:b/>
          <w:color w:val="000000" w:themeColor="text1"/>
          <w:sz w:val="32"/>
          <w:szCs w:val="32"/>
          <w:highlight w:val="none"/>
          <w:lang w:eastAsia="zh-CN"/>
          <w14:textFill>
            <w14:solidFill>
              <w14:schemeClr w14:val="tx1"/>
            </w14:solidFill>
          </w14:textFill>
        </w:rPr>
        <w:t xml:space="preserve">JSZC-320105-NJXN-G2026-0010</w:t>
      </w:r>
      <w:r/>
    </w:p>
    <w:p>
      <w:pPr>
        <w:jc w:val="center"/>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w:t>
      </w:r>
      <w:r>
        <w:rPr>
          <w:rFonts w:hint="eastAsia" w:ascii="宋体" w:hAnsi="宋体" w:cs="宋体"/>
          <w:b/>
          <w:bCs/>
          <w:color w:val="000000" w:themeColor="text1"/>
          <w:sz w:val="30"/>
          <w:szCs w:val="30"/>
          <w:highlight w:val="none"/>
          <w14:textFill>
            <w14:solidFill>
              <w14:schemeClr w14:val="tx1"/>
            </w14:solidFill>
          </w14:textFill>
        </w:rPr>
        <w:t xml:space="preserve">非专门</w:t>
      </w:r>
      <w:r>
        <w:rPr>
          <w:rFonts w:hint="eastAsia"/>
          <w:b/>
          <w:color w:val="000000" w:themeColor="text1"/>
          <w:sz w:val="30"/>
          <w:szCs w:val="30"/>
          <w:highlight w:val="none"/>
          <w14:textFill>
            <w14:solidFill>
              <w14:schemeClr w14:val="tx1"/>
            </w14:solidFill>
          </w14:textFill>
        </w:rPr>
        <w:t xml:space="preserve">面向中小企业）</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采购人：南京市莫愁湖公园管理处</w:t>
      </w:r>
      <w:r/>
    </w:p>
    <w:p>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采购代理机构：南京信诺工程造价咨询有限责任公司</w:t>
      </w:r>
      <w:r/>
    </w:p>
    <w:p>
      <w:pPr>
        <w:jc w:val="center"/>
        <w:rPr>
          <w:b/>
          <w:color w:val="000000" w:themeColor="text1"/>
          <w:sz w:val="36"/>
          <w:szCs w:val="36"/>
          <w:highlight w:val="none"/>
          <w14:textFill>
            <w14:solidFill>
              <w14:schemeClr w14:val="tx1"/>
            </w14:solidFill>
          </w14:textFill>
        </w:rPr>
      </w:pPr>
      <w:r/>
      <w:bookmarkStart w:id="6" w:name="OLE_LINK1"/>
      <w:r/>
      <w:bookmarkStart w:id="7" w:name="OLE_LINK2"/>
      <w:r>
        <w:rPr>
          <w:rFonts w:hint="eastAsia"/>
          <w:b/>
          <w:color w:val="000000" w:themeColor="text1"/>
          <w:sz w:val="36"/>
          <w:szCs w:val="36"/>
          <w:highlight w:val="none"/>
          <w14:textFill>
            <w14:solidFill>
              <w14:schemeClr w14:val="tx1"/>
            </w14:solidFill>
          </w14:textFill>
        </w:rPr>
        <w:t xml:space="preserve">二〇二六年十月</w:t>
      </w:r>
      <w:bookmarkEnd w:id="6"/>
      <w:bookmarkEnd w:id="7"/>
      <w:r/>
    </w:p>
    <w:p>
      <w:pPr>
        <w:jc w:val="left"/>
        <w:spacing w:before="120" w:after="120" w:line="360" w:lineRule="auto"/>
        <w:rPr>
          <w:rFonts w:ascii="Arial" w:hAnsi="Arial"/>
          <w:color w:val="000000" w:themeColor="text1"/>
          <w:sz w:val="24"/>
          <w:szCs w:val="24"/>
          <w:highlight w:val="none"/>
          <w:u w:val="single"/>
          <w14:textFill>
            <w14:solidFill>
              <w14:schemeClr w14:val="tx1"/>
            </w14:solidFill>
          </w14:textFill>
        </w:rPr>
      </w:pPr>
      <w:r>
        <w:rPr>
          <w:rFonts w:ascii="Arial" w:hAnsi="Arial"/>
          <w:color w:val="000000" w:themeColor="text1"/>
          <w:sz w:val="24"/>
          <w:szCs w:val="24"/>
          <w:highlight w:val="none"/>
          <w:u w:val="single"/>
          <w14:textFill>
            <w14:solidFill>
              <w14:schemeClr w14:val="tx1"/>
            </w14:solidFill>
          </w14:textFill>
        </w:rPr>
      </w:r>
      <w:r/>
    </w:p>
    <w:p>
      <w:pPr>
        <w:jc w:val="center"/>
        <w:spacing w:before="120" w:after="120" w:line="360" w:lineRule="auto"/>
        <w:rPr>
          <w:rFonts w:ascii="Arial" w:hAnsi="Arial"/>
          <w:color w:val="000000" w:themeColor="text1"/>
          <w:sz w:val="24"/>
          <w:szCs w:val="24"/>
          <w:highlight w:val="none"/>
          <w14:textFill>
            <w14:solidFill>
              <w14:schemeClr w14:val="tx1"/>
            </w14:solidFill>
          </w14:textFill>
        </w:rPr>
      </w:pPr>
      <w:r>
        <w:rPr>
          <w:rFonts w:ascii="Arial" w:hAnsi="Arial"/>
          <w:color w:val="000000" w:themeColor="text1"/>
          <w:sz w:val="24"/>
          <w:szCs w:val="24"/>
          <w:highlight w:val="none"/>
          <w14:textFill>
            <w14:solidFill>
              <w14:schemeClr w14:val="tx1"/>
            </w14:solidFill>
          </w14:textFill>
        </w:rPr>
      </w:r>
      <w:r/>
    </w:p>
    <w:p>
      <w:pPr>
        <w:jc w:val="left"/>
        <w:spacing w:before="120" w:after="120"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49"/>
        <w:ind w:firstLine="0"/>
        <w:jc w:val="center"/>
        <w:rPr>
          <w:rFonts w:ascii="黑体" w:hAnsi="Arial" w:eastAsia="黑体"/>
          <w:b/>
          <w:color w:val="000000" w:themeColor="text1"/>
          <w:sz w:val="44"/>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hAnsi="Arial" w:eastAsia="黑体"/>
          <w:b/>
          <w:color w:val="000000" w:themeColor="text1"/>
          <w:sz w:val="44"/>
          <w:szCs w:val="21"/>
          <w:highlight w:val="none"/>
          <w14:textFill>
            <w14:solidFill>
              <w14:schemeClr w14:val="tx1"/>
            </w14:solidFill>
          </w14:textFill>
        </w:rPr>
        <w:t xml:space="preserve">总  目  录</w:t>
      </w:r>
      <w:r/>
    </w:p>
    <w:p>
      <w:pPr>
        <w:pStyle w:val="766"/>
        <w:tabs>
          <w:tab w:val="right" w:pos="9746" w:leader="dot"/>
        </w:tabs>
        <w:rPr>
          <w:b w:val="0"/>
          <w:color w:val="000000" w:themeColor="text1"/>
          <w:szCs w:val="22"/>
          <w:highlight w:val="none"/>
          <w14:textFill>
            <w14:solidFill>
              <w14:schemeClr w14:val="tx1"/>
            </w14:solidFill>
          </w14:textFill>
        </w:rPr>
      </w:pPr>
      <w:r>
        <w:rPr>
          <w:b w:val="0"/>
          <w:color w:val="000000" w:themeColor="text1"/>
          <w:szCs w:val="22"/>
          <w:highlight w:val="none"/>
          <w14:textFill>
            <w14:solidFill>
              <w14:schemeClr w14:val="tx1"/>
            </w14:solidFill>
          </w14:textFill>
        </w:rPr>
        <w:fldChar w:fldCharType="begin"/>
      </w:r>
      <w:r>
        <w:rPr>
          <w:rFonts w:hint="eastAsia"/>
          <w:b w:val="0"/>
          <w:color w:val="000000" w:themeColor="text1"/>
          <w:szCs w:val="22"/>
          <w:highlight w:val="none"/>
          <w14:textFill>
            <w14:solidFill>
              <w14:schemeClr w14:val="tx1"/>
            </w14:solidFill>
          </w14:textFill>
        </w:rPr>
        <w:instrText xml:space="preserve">TOC \o "1-3" \h \z \u</w:instrText>
      </w:r>
      <w:r>
        <w:rPr>
          <w:b w:val="0"/>
          <w:color w:val="000000" w:themeColor="text1"/>
          <w:szCs w:val="22"/>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"_Toc14529"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第一章  投标邀请</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_Toc14529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1</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"_Toc8490"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一、项目基本情况</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_Toc8490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"_Toc29055"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二、申请人的资格要求</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_Toc29055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"_Toc27903"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三、获取招标文件</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_Toc27903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"_Toc22901"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四、提交投标文件截止时间、开标时间和地点</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_Toc22901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"_Toc18915"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五、公告期限</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_Toc18915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"_Toc7958"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六、其他事宜</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_Toc7958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"_Toc5178"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七、本次招标联系方式</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_Toc5178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4</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66"/>
        <w:tabs>
          <w:tab w:val="right" w:pos="9746" w:leader="dot"/>
        </w:tabs>
        <w:rPr>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"_Toc24076"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第二章  供应商须知</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_Toc24076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5</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"_Toc11912"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一、总则</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_Toc11912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"_Toc30248"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二、招标文件</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_Toc30248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"_Toc27454"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三、投标文件的编制</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_Toc27454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6</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"_Toc656"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四、投标文件的递交</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_Toc656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7</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"_Toc2443"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五、开标与评标</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_Toc2443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"_Toc15283"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六、定标</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_Toc15283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11</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"_Toc1570"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七、授予合同</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_Toc1570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12</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"_Toc8587"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八、质疑</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_Toc8587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"_Toc18141"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九、政策功能落实</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_Toc18141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14</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66"/>
        <w:tabs>
          <w:tab w:val="right" w:pos="9746" w:leader="dot"/>
        </w:tabs>
        <w:rPr>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"_Toc31023"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第三章  合同文本</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_Toc31023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15</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766"/>
        <w:tabs>
          <w:tab w:val="right" w:pos="9746" w:leader="dot"/>
        </w:tabs>
        <w:rPr>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"_Toc8339"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第四章  采购需求</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_Toc8339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21</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766"/>
        <w:tabs>
          <w:tab w:val="right" w:pos="9746" w:leader="dot"/>
        </w:tabs>
        <w:rPr>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"_Toc16330"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第五章  评标方法与评标标准</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_Toc16330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46</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"_Toc28842"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一、评标方法</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_Toc28842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46</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"_Toc1647"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二、小微企业价格扣除</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_Toc1647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46</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"_Toc4133" </w:instrText>
      </w:r>
      <w:r>
        <w:rPr>
          <w:color w:val="000000" w:themeColor="text1"/>
          <w:highlight w:val="none"/>
          <w14:textFill>
            <w14:solidFill>
              <w14:schemeClr w14:val="tx1"/>
            </w14:solidFill>
          </w14:textFill>
        </w:rPr>
        <w:fldChar w:fldCharType="separate"/>
      </w:r>
      <w:r>
        <w:rPr>
          <w:rFonts w:hint="eastAsia" w:cs="Times New Roman"/>
          <w:i w:val="0"/>
          <w:color w:val="000000" w:themeColor="text1"/>
          <w:szCs w:val="22"/>
          <w:highlight w:val="none"/>
          <w14:textFill>
            <w14:solidFill>
              <w14:schemeClr w14:val="tx1"/>
            </w14:solidFill>
          </w14:textFill>
        </w:rPr>
        <w:t xml:space="preserve">三、 评标标准</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_Toc4133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47</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66"/>
        <w:tabs>
          <w:tab w:val="right" w:pos="9746" w:leader="dot"/>
        </w:tabs>
        <w:rPr>
          <w:b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"_Toc1377" </w:instrText>
      </w:r>
      <w:r>
        <w:rPr>
          <w:color w:val="000000" w:themeColor="text1"/>
          <w:highlight w:val="none"/>
          <w14:textFill>
            <w14:solidFill>
              <w14:schemeClr w14:val="tx1"/>
            </w14:solidFill>
          </w14:textFill>
        </w:rPr>
        <w:fldChar w:fldCharType="separate"/>
      </w:r>
      <w:r>
        <w:rPr>
          <w:rFonts w:hint="eastAsia"/>
          <w:b w:val="0"/>
          <w:color w:val="000000" w:themeColor="text1"/>
          <w:szCs w:val="22"/>
          <w:highlight w:val="none"/>
          <w14:textFill>
            <w14:solidFill>
              <w14:schemeClr w14:val="tx1"/>
            </w14:solidFill>
          </w14:textFill>
        </w:rPr>
        <w:t xml:space="preserve">第六章  投标文件格式</w:t>
      </w:r>
      <w:r>
        <w:rPr>
          <w:b w:val="0"/>
          <w:color w:val="000000" w:themeColor="text1"/>
          <w:szCs w:val="22"/>
          <w:highlight w:val="none"/>
          <w14:textFill>
            <w14:solidFill>
              <w14:schemeClr w14:val="tx1"/>
            </w14:solidFill>
          </w14:textFill>
        </w:rPr>
        <w:tab/>
      </w:r>
      <w:r>
        <w:rPr>
          <w:b w:val="0"/>
          <w:color w:val="000000" w:themeColor="text1"/>
          <w:szCs w:val="22"/>
          <w:highlight w:val="none"/>
          <w14:textFill>
            <w14:solidFill>
              <w14:schemeClr w14:val="tx1"/>
            </w14:solidFill>
          </w14:textFill>
        </w:rPr>
        <w:fldChar w:fldCharType="begin"/>
      </w:r>
      <w:r>
        <w:rPr>
          <w:b w:val="0"/>
          <w:color w:val="000000" w:themeColor="text1"/>
          <w:szCs w:val="22"/>
          <w:highlight w:val="none"/>
          <w14:textFill>
            <w14:solidFill>
              <w14:schemeClr w14:val="tx1"/>
            </w14:solidFill>
          </w14:textFill>
        </w:rPr>
        <w:instrText xml:space="preserve"> PAGEREF _Toc1377 \h </w:instrText>
      </w:r>
      <w:r>
        <w:rPr>
          <w:b w:val="0"/>
          <w:color w:val="000000" w:themeColor="text1"/>
          <w:szCs w:val="22"/>
          <w:highlight w:val="none"/>
          <w14:textFill>
            <w14:solidFill>
              <w14:schemeClr w14:val="tx1"/>
            </w14:solidFill>
          </w14:textFill>
        </w:rPr>
        <w:fldChar w:fldCharType="separate"/>
      </w:r>
      <w:r>
        <w:rPr>
          <w:b w:val="0"/>
          <w:color w:val="000000" w:themeColor="text1"/>
          <w:szCs w:val="22"/>
          <w:highlight w:val="none"/>
          <w14:textFill>
            <w14:solidFill>
              <w14:schemeClr w14:val="tx1"/>
            </w14:solidFill>
          </w14:textFill>
        </w:rPr>
        <w:t xml:space="preserve">50</w:t>
      </w:r>
      <w:r>
        <w:rPr>
          <w:b w:val="0"/>
          <w:color w:val="000000" w:themeColor="text1"/>
          <w:szCs w:val="22"/>
          <w:highlight w:val="none"/>
          <w14:textFill>
            <w14:solidFill>
              <w14:schemeClr w14:val="tx1"/>
            </w14:solidFill>
          </w14:textFill>
        </w:rPr>
        <w:fldChar w:fldCharType="end"/>
      </w:r>
      <w:r>
        <w:rPr>
          <w:b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"_Toc21571"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一、供应商信用承诺函</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_Toc21571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52</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"_Toc27337"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二、满足特定资格要求的证明文件</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_Toc27337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"_Toc12519"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三、法人授权书</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_Toc12519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54</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"_Toc18416"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四、投标函</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_Toc18416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55</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"_Toc29532"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五、开标一览表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_Toc29532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56</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"_Toc22902"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六、投标分项报价表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_Toc22902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57</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"_Toc58"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七、技术要求响应及偏离表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_Toc58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81</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"_Toc2596"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八、商务要求响应及偏离表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_Toc2596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82</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"_Toc5495"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九、技术说明与服务方案</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_Toc5495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83</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"_Toc23011"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十、 拟参与本项目服务人员一览表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_Toc23011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84</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"_Toc5248" </w:instrText>
      </w:r>
      <w:r>
        <w:rPr>
          <w:color w:val="000000" w:themeColor="text1"/>
          <w:highlight w:val="none"/>
          <w14:textFill>
            <w14:solidFill>
              <w14:schemeClr w14:val="tx1"/>
            </w14:solidFill>
          </w14:textFill>
        </w:rPr>
        <w:fldChar w:fldCharType="separate"/>
      </w:r>
      <w:r>
        <w:rPr>
          <w:rFonts w:hint="eastAsia" w:ascii="宋体" w:hAnsi="宋体"/>
          <w:i w:val="0"/>
          <w:color w:val="000000" w:themeColor="text1"/>
          <w:szCs w:val="22"/>
          <w:highlight w:val="none"/>
          <w14:textFill>
            <w14:solidFill>
              <w14:schemeClr w14:val="tx1"/>
            </w14:solidFill>
          </w14:textFill>
        </w:rPr>
        <w:t xml:space="preserve">十一、 投标人类似业绩情况表</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_Toc5248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85</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"_Toc3488"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十二、中小企业声明函</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_Toc3488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86</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"_Toc1865"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十三、残疾人福利性单位声明函</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_Toc1865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87</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pStyle w:val="778"/>
        <w:tabs>
          <w:tab w:val="right" w:pos="9746" w:leader="dot"/>
        </w:tabs>
        <w:rPr>
          <w:i w:val="0"/>
          <w:color w:val="000000" w:themeColor="text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"_Toc2910" </w:instrText>
      </w:r>
      <w:r>
        <w:rPr>
          <w:color w:val="000000" w:themeColor="text1"/>
          <w:highlight w:val="none"/>
          <w14:textFill>
            <w14:solidFill>
              <w14:schemeClr w14:val="tx1"/>
            </w14:solidFill>
          </w14:textFill>
        </w:rPr>
        <w:fldChar w:fldCharType="separate"/>
      </w:r>
      <w:r>
        <w:rPr>
          <w:rFonts w:hint="eastAsia"/>
          <w:i w:val="0"/>
          <w:color w:val="000000" w:themeColor="text1"/>
          <w:szCs w:val="22"/>
          <w:highlight w:val="none"/>
          <w14:textFill>
            <w14:solidFill>
              <w14:schemeClr w14:val="tx1"/>
            </w14:solidFill>
          </w14:textFill>
        </w:rPr>
        <w:t xml:space="preserve">十四、联合体协议（本项目无需提供）</w:t>
      </w:r>
      <w:r>
        <w:rPr>
          <w:i w:val="0"/>
          <w:color w:val="000000" w:themeColor="text1"/>
          <w:szCs w:val="22"/>
          <w:highlight w:val="none"/>
          <w14:textFill>
            <w14:solidFill>
              <w14:schemeClr w14:val="tx1"/>
            </w14:solidFill>
          </w14:textFill>
        </w:rPr>
        <w:tab/>
      </w:r>
      <w:r>
        <w:rPr>
          <w:i w:val="0"/>
          <w:color w:val="000000" w:themeColor="text1"/>
          <w:szCs w:val="22"/>
          <w:highlight w:val="none"/>
          <w14:textFill>
            <w14:solidFill>
              <w14:schemeClr w14:val="tx1"/>
            </w14:solidFill>
          </w14:textFill>
        </w:rPr>
        <w:fldChar w:fldCharType="begin"/>
      </w:r>
      <w:r>
        <w:rPr>
          <w:i w:val="0"/>
          <w:color w:val="000000" w:themeColor="text1"/>
          <w:szCs w:val="22"/>
          <w:highlight w:val="none"/>
          <w14:textFill>
            <w14:solidFill>
              <w14:schemeClr w14:val="tx1"/>
            </w14:solidFill>
          </w14:textFill>
        </w:rPr>
        <w:instrText xml:space="preserve"> PAGEREF _Toc2910 \h </w:instrText>
      </w:r>
      <w:r>
        <w:rPr>
          <w:i w:val="0"/>
          <w:color w:val="000000" w:themeColor="text1"/>
          <w:szCs w:val="22"/>
          <w:highlight w:val="none"/>
          <w14:textFill>
            <w14:solidFill>
              <w14:schemeClr w14:val="tx1"/>
            </w14:solidFill>
          </w14:textFill>
        </w:rPr>
        <w:fldChar w:fldCharType="separate"/>
      </w:r>
      <w:r>
        <w:rPr>
          <w:i w:val="0"/>
          <w:color w:val="000000" w:themeColor="text1"/>
          <w:szCs w:val="22"/>
          <w:highlight w:val="none"/>
          <w14:textFill>
            <w14:solidFill>
              <w14:schemeClr w14:val="tx1"/>
            </w14:solidFill>
          </w14:textFill>
        </w:rPr>
        <w:t xml:space="preserve">88</w:t>
      </w:r>
      <w:r>
        <w:rPr>
          <w:i w:val="0"/>
          <w:color w:val="000000" w:themeColor="text1"/>
          <w:szCs w:val="22"/>
          <w:highlight w:val="none"/>
          <w14:textFill>
            <w14:solidFill>
              <w14:schemeClr w14:val="tx1"/>
            </w14:solidFill>
          </w14:textFill>
        </w:rPr>
        <w:fldChar w:fldCharType="end"/>
      </w:r>
      <w:r>
        <w:rPr>
          <w:i w:val="0"/>
          <w:color w:val="000000" w:themeColor="text1"/>
          <w:szCs w:val="22"/>
          <w:highlight w:val="none"/>
          <w14:textFill>
            <w14:solidFill>
              <w14:schemeClr w14:val="tx1"/>
            </w14:solidFill>
          </w14:textFill>
        </w:rPr>
        <w:fldChar w:fldCharType="end"/>
      </w:r>
      <w:r/>
    </w:p>
    <w:p>
      <w:pPr>
        <w:keepLines w:val="0"/>
        <w:keepNext w:val="0"/>
        <w:pageBreakBefore w:val="0"/>
        <w:spacing w:before="181" w:line="360" w:lineRule="auto"/>
        <w:widowControl w:val="off"/>
        <w:rPr>
          <w:rFonts w:hint="default" w:eastAsia="宋体" w:asciiTheme="minorHAnsi" w:hAnsiTheme="minorHAnsi" w:cstheme="minorHAnsi"/>
          <w:i w:val="0"/>
          <w:iCs/>
          <w:color w:val="000000" w:themeColor="text1"/>
          <w:sz w:val="20"/>
          <w:szCs w:val="22"/>
          <w:highlight w:val="none"/>
          <w:lang w:val="en-US" w:eastAsia="zh-CN" w:bidi="ar-SA"/>
          <w14:textFill>
            <w14:solidFill>
              <w14:schemeClr w14:val="tx1"/>
            </w14:solidFill>
          </w14:textFill>
        </w:rPr>
        <w:sectPr>
          <w:headerReference w:type="default" r:id="rId9"/>
          <w:headerReference w:type="first" r:id="rId10"/>
          <w:footerReference w:type="even" r:id="rId11"/>
          <w:footerReference w:type="first" r:id="rId12"/>
          <w:footnotePr/>
          <w:endnotePr/>
          <w:type w:val="nextPage"/>
          <w:pgSz w:w="11906" w:h="16838" w:orient="portrait"/>
          <w:pgMar w:top="1440" w:right="1080" w:bottom="1440" w:left="1080" w:header="851" w:footer="907" w:gutter="0"/>
          <w:pgNumType w:start="0"/>
          <w:cols w:num="1" w:sep="0" w:space="720" w:equalWidth="1"/>
          <w:docGrid w:linePitch="360"/>
          <w:titlePg/>
        </w:sectPr>
      </w:pPr>
      <w:r>
        <w:rPr>
          <w:color w:val="000000" w:themeColor="text1"/>
          <w:szCs w:val="22"/>
          <w:highlight w:val="none"/>
          <w14:textFill>
            <w14:solidFill>
              <w14:schemeClr w14:val="tx1"/>
            </w14:solidFill>
          </w14:textFill>
        </w:rPr>
        <w:fldChar w:fldCharType="end"/>
      </w:r>
      <w:r>
        <w:rPr>
          <w:rFonts w:hint="eastAsia"/>
          <w:color w:val="000000" w:themeColor="text1"/>
          <w:szCs w:val="22"/>
          <w:highlight w:val="none"/>
          <w:lang w:val="en-US" w:eastAsia="zh-CN"/>
          <w14:textFill>
            <w14:solidFill>
              <w14:schemeClr w14:val="tx1"/>
            </w14:solidFill>
          </w14:textFill>
        </w:rPr>
        <w:t xml:space="preserve">  </w:t>
      </w:r>
      <w:r>
        <w:rPr>
          <w:rFonts w:hint="eastAsia" w:eastAsia="宋体" w:asciiTheme="minorHAnsi" w:hAnsiTheme="minorHAnsi" w:cstheme="minorHAnsi"/>
          <w:i w:val="0"/>
          <w:iCs/>
          <w:color w:val="000000" w:themeColor="text1"/>
          <w:sz w:val="20"/>
          <w:szCs w:val="22"/>
          <w:highlight w:val="none"/>
          <w:lang w:val="en-US" w:eastAsia="zh-CN" w:bidi="ar-SA"/>
          <w14:textFill>
            <w14:solidFill>
              <w14:schemeClr w14:val="tx1"/>
            </w14:solidFill>
          </w14:textFill>
        </w:rPr>
        <w:t xml:space="preserve">十五、南京市政府采购供应商信用承诺书.................................................................................................................89</w:t>
      </w:r>
      <w:r/>
    </w:p>
    <w:p>
      <w:pPr>
        <w:pStyle w:val="723"/>
        <w:spacing w:after="145"/>
        <w:rPr>
          <w:color w:val="000000" w:themeColor="text1"/>
          <w:highlight w:val="none"/>
          <w14:textFill>
            <w14:solidFill>
              <w14:schemeClr w14:val="tx1"/>
            </w14:solidFill>
          </w14:textFill>
        </w:rPr>
      </w:pPr>
      <w:r/>
      <w:bookmarkStart w:id="8" w:name="_Toc14529"/>
      <w:r>
        <w:rPr>
          <w:rFonts w:hint="eastAsia"/>
          <w:color w:val="000000" w:themeColor="text1"/>
          <w:highlight w:val="none"/>
          <w14:textFill>
            <w14:solidFill>
              <w14:schemeClr w14:val="tx1"/>
            </w14:solidFill>
          </w14:textFill>
        </w:rPr>
        <w:t xml:space="preserve">第一章  </w:t>
      </w:r>
      <w:bookmarkEnd w:id="0"/>
      <w:r>
        <w:rPr>
          <w:rFonts w:hint="eastAsia"/>
          <w:color w:val="000000" w:themeColor="text1"/>
          <w:highlight w:val="none"/>
          <w14:textFill>
            <w14:solidFill>
              <w14:schemeClr w14:val="tx1"/>
            </w14:solidFill>
          </w14:textFill>
        </w:rPr>
        <w:t xml:space="preserve">投标邀请</w:t>
      </w:r>
      <w:bookmarkEnd w:id="8"/>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2"/>
      </w:tblGrid>
      <w:tr>
        <w:trPr/>
        <w:tc>
          <w:tcPr>
            <w:tcW w:w="9242" w:type="dxa"/>
            <w:textDirection w:val="lrTb"/>
            <w:noWrap w:val="false"/>
          </w:tcPr>
          <w:p>
            <w:pPr>
              <w:ind w:firstLine="482"/>
              <w:rPr>
                <w:color w:val="000000" w:themeColor="text1"/>
                <w:sz w:val="24"/>
                <w:szCs w:val="22"/>
                <w:highlight w:val="none"/>
                <w14:textFill>
                  <w14:solidFill>
                    <w14:schemeClr w14:val="tx1"/>
                  </w14:solidFill>
                </w14:textFill>
              </w:rPr>
            </w:pPr>
            <w:r/>
            <w:bookmarkStart w:id="9" w:name="_Toc8490"/>
            <w:r/>
            <w:bookmarkStart w:id="10" w:name="_Toc35393790"/>
            <w:r/>
            <w:bookmarkStart w:id="11" w:name="_Toc28359002"/>
            <w:r/>
            <w:bookmarkStart w:id="12" w:name="_Toc38985263"/>
            <w:r/>
            <w:bookmarkStart w:id="13" w:name="_Toc35393621"/>
            <w:r/>
            <w:bookmarkStart w:id="14" w:name="_Toc28359079"/>
            <w:r/>
            <w:bookmarkStart w:id="15" w:name="_Hlk24379207"/>
            <w:r>
              <w:rPr>
                <w:rFonts w:hint="eastAsia"/>
                <w:b/>
                <w:bCs/>
                <w:color w:val="000000" w:themeColor="text1"/>
                <w:sz w:val="24"/>
                <w:szCs w:val="22"/>
                <w:highlight w:val="none"/>
                <w14:textFill>
                  <w14:solidFill>
                    <w14:schemeClr w14:val="tx1"/>
                  </w14:solidFill>
                </w14:textFill>
              </w:rPr>
              <w:t xml:space="preserve">项目概况</w:t>
            </w:r>
            <w:r/>
          </w:p>
          <w:p>
            <w:pPr>
              <w:pStyle w:val="724"/>
              <w:rPr>
                <w:rFonts w:cs="Times New Roman"/>
                <w:b/>
                <w:color w:val="000000" w:themeColor="text1"/>
                <w:highlight w:val="none"/>
                <w14:textFill>
                  <w14:solidFill>
                    <w14:schemeClr w14:val="tx1"/>
                  </w14:solidFill>
                </w14:textFill>
              </w:rPr>
              <w:outlineLvl w:val="1"/>
            </w:pPr>
            <w:r>
              <w:rPr>
                <w:rFonts w:hint="eastAsia"/>
                <w:color w:val="000000" w:themeColor="text1"/>
                <w:szCs w:val="24"/>
                <w:highlight w:val="none"/>
                <w:u w:val="single"/>
                <w14:textFill>
                  <w14:solidFill>
                    <w14:schemeClr w14:val="tx1"/>
                  </w14:solidFill>
                </w14:textFill>
              </w:rPr>
              <w:t xml:space="preserve">莫愁湖公园2026年胜棋楼片区展陈品质提升项目</w:t>
            </w:r>
            <w:r>
              <w:rPr>
                <w:rFonts w:hint="eastAsia"/>
                <w:color w:val="000000" w:themeColor="text1"/>
                <w:szCs w:val="24"/>
                <w:highlight w:val="none"/>
                <w14:textFill>
                  <w14:solidFill>
                    <w14:schemeClr w14:val="tx1"/>
                  </w14:solidFill>
                </w14:textFill>
              </w:rPr>
              <w:t xml:space="preserve">招标的潜在投标人应在苏采云系统注册登记成功后系统内免费下载获取招标文件，并于202</w:t>
            </w:r>
            <w:r>
              <w:rPr>
                <w:rFonts w:hint="eastAsia"/>
                <w:color w:val="000000" w:themeColor="text1"/>
                <w:szCs w:val="24"/>
                <w:highlight w:val="none"/>
                <w:lang w:val="en-US"/>
                <w14:textFill>
                  <w14:solidFill>
                    <w14:schemeClr w14:val="tx1"/>
                  </w14:solidFill>
                </w14:textFill>
              </w:rPr>
              <w:t xml:space="preserve">6</w:t>
            </w:r>
            <w:r>
              <w:rPr>
                <w:rFonts w:hint="eastAsia"/>
                <w:color w:val="000000" w:themeColor="text1"/>
                <w:szCs w:val="24"/>
                <w:highlight w:val="none"/>
                <w14:textFill>
                  <w14:solidFill>
                    <w14:schemeClr w14:val="tx1"/>
                  </w14:solidFill>
                </w14:textFill>
              </w:rPr>
              <w:t xml:space="preserve">-</w:t>
            </w:r>
            <w:r>
              <w:rPr>
                <w:rFonts w:hint="eastAsia"/>
                <w:color w:val="000000" w:themeColor="text1"/>
                <w:szCs w:val="24"/>
                <w:highlight w:val="none"/>
                <w:lang w:val="en-US" w:eastAsia="zh-CN"/>
                <w14:textFill>
                  <w14:solidFill>
                    <w14:schemeClr w14:val="tx1"/>
                  </w14:solidFill>
                </w14:textFill>
              </w:rPr>
              <w:t xml:space="preserve">11</w:t>
            </w:r>
            <w:r>
              <w:rPr>
                <w:rFonts w:hint="eastAsia"/>
                <w:color w:val="000000" w:themeColor="text1"/>
                <w:szCs w:val="24"/>
                <w:highlight w:val="none"/>
                <w14:textFill>
                  <w14:solidFill>
                    <w14:schemeClr w14:val="tx1"/>
                  </w14:solidFill>
                </w14:textFill>
              </w:rPr>
              <w:t xml:space="preserve">-</w:t>
            </w:r>
            <w:r>
              <w:rPr>
                <w:rFonts w:hint="eastAsia"/>
                <w:color w:val="000000" w:themeColor="text1"/>
                <w:szCs w:val="24"/>
                <w:highlight w:val="none"/>
                <w:lang w:val="en-US" w:eastAsia="zh-CN"/>
                <w14:textFill>
                  <w14:solidFill>
                    <w14:schemeClr w14:val="tx1"/>
                  </w14:solidFill>
                </w14:textFill>
              </w:rPr>
              <w:t xml:space="preserve">10</w:t>
            </w:r>
            <w:r>
              <w:rPr>
                <w:rFonts w:hint="eastAsia"/>
                <w:color w:val="000000" w:themeColor="text1"/>
                <w:szCs w:val="24"/>
                <w:highlight w:val="none"/>
                <w:lang w:val="en-US"/>
                <w14:textFill>
                  <w14:solidFill>
                    <w14:schemeClr w14:val="tx1"/>
                  </w14:solidFill>
                </w14:textFill>
              </w:rPr>
              <w:t xml:space="preserve">  14</w:t>
            </w:r>
            <w:r>
              <w:rPr>
                <w:rFonts w:hint="eastAsia"/>
                <w:color w:val="000000" w:themeColor="text1"/>
                <w:szCs w:val="24"/>
                <w:highlight w:val="none"/>
                <w14:textFill>
                  <w14:solidFill>
                    <w14:schemeClr w14:val="tx1"/>
                  </w14:solidFill>
                </w14:textFill>
              </w:rPr>
              <w:t xml:space="preserve">:30（北京时间）前递交投标文件。</w:t>
            </w:r>
            <w:r/>
          </w:p>
        </w:tc>
      </w:tr>
    </w:tbl>
    <w:p>
      <w:pPr>
        <w:pStyle w:val="724"/>
        <w:rPr>
          <w:rFonts w:cs="Times New Roman"/>
          <w:b/>
          <w:color w:val="000000" w:themeColor="text1"/>
          <w:highlight w:val="none"/>
          <w14:textFill>
            <w14:solidFill>
              <w14:schemeClr w14:val="tx1"/>
            </w14:solidFill>
          </w14:textFill>
        </w:rPr>
      </w:pPr>
      <w:r>
        <w:rPr>
          <w:rFonts w:hint="eastAsia" w:cs="Times New Roman"/>
          <w:b/>
          <w:color w:val="000000" w:themeColor="text1"/>
          <w:highlight w:val="none"/>
          <w14:textFill>
            <w14:solidFill>
              <w14:schemeClr w14:val="tx1"/>
            </w14:solidFill>
          </w14:textFill>
        </w:rPr>
        <w:t xml:space="preserve">一、项目基本情况</w:t>
      </w:r>
      <w:bookmarkEnd w:id="9"/>
      <w:r/>
      <w:bookmarkEnd w:id="10"/>
      <w:r/>
      <w:bookmarkEnd w:id="11"/>
      <w:r/>
      <w:bookmarkEnd w:id="12"/>
      <w:r/>
      <w:bookmarkEnd w:id="13"/>
      <w:r/>
      <w:bookmarkEnd w:id="14"/>
      <w:r/>
      <w:bookmarkEnd w:id="15"/>
      <w:r/>
    </w:p>
    <w:p>
      <w:pPr>
        <w:pStyle w:val="1142"/>
        <w:ind w:firstLine="480"/>
        <w:rPr>
          <w:color w:val="000000" w:themeColor="text1"/>
          <w:sz w:val="24"/>
          <w:szCs w:val="24"/>
          <w:highlight w:val="none"/>
          <w14:textFill>
            <w14:solidFill>
              <w14:schemeClr w14:val="tx1"/>
            </w14:solidFill>
          </w14:textFill>
        </w:rPr>
      </w:pPr>
      <w:r/>
      <w:bookmarkStart w:id="16" w:name="OLE_LINK4"/>
      <w:r/>
      <w:bookmarkStart w:id="17" w:name="OLE_LINK5"/>
      <w:r>
        <w:rPr>
          <w:rFonts w:hint="eastAsia"/>
          <w:color w:val="000000" w:themeColor="text1"/>
          <w:sz w:val="24"/>
          <w:szCs w:val="24"/>
          <w:highlight w:val="none"/>
          <w14:textFill>
            <w14:solidFill>
              <w14:schemeClr w14:val="tx1"/>
            </w14:solidFill>
          </w14:textFill>
        </w:rPr>
        <w:t xml:space="preserve">1.项目编号：</w:t>
      </w:r>
      <w:r>
        <w:rPr>
          <w:rFonts w:hint="eastAsia" w:ascii="Segoe UI" w:hAnsi="Segoe UI" w:eastAsia="Segoe UI" w:cs="Segoe UI"/>
          <w:color w:val="000000" w:themeColor="text1"/>
          <w:highlight w:val="none"/>
          <w:shd w:val="clear" w:color="auto" w:fill="ffffff"/>
          <w:lang w:eastAsia="zh-CN"/>
          <w14:textFill>
            <w14:solidFill>
              <w14:schemeClr w14:val="tx1"/>
            </w14:solidFill>
          </w14:textFill>
        </w:rPr>
        <w:t xml:space="preserve">JSZC-320105-NJXN-G2026-0010</w:t>
      </w:r>
      <w:r/>
    </w:p>
    <w:p>
      <w:pPr>
        <w:pStyle w:val="1142"/>
        <w:ind w:firstLine="480"/>
        <w:rPr>
          <w:color w:val="000000" w:themeColor="text1"/>
          <w:sz w:val="24"/>
          <w:szCs w:val="24"/>
          <w:highlight w:val="none"/>
          <w:lang w:val="en-US"/>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2.项目名称：莫愁湖公园2026年胜棋楼片区展陈品质提升项目</w:t>
      </w:r>
      <w:r/>
    </w:p>
    <w:p>
      <w:pPr>
        <w:pStyle w:val="1142"/>
        <w:ind w:firstLine="480"/>
        <w:rPr>
          <w:color w:val="000000" w:themeColor="text1"/>
          <w:sz w:val="24"/>
          <w:szCs w:val="24"/>
          <w:highlight w:val="none"/>
          <w:lang w:val="en-US"/>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3.预算金额：</w:t>
      </w:r>
      <w:r>
        <w:rPr>
          <w:rFonts w:hint="eastAsia"/>
          <w:color w:val="000000" w:themeColor="text1"/>
          <w:sz w:val="24"/>
          <w:szCs w:val="24"/>
          <w:highlight w:val="none"/>
          <w:lang w:val="en-US"/>
          <w14:textFill>
            <w14:solidFill>
              <w14:schemeClr w14:val="tx1"/>
            </w14:solidFill>
          </w14:textFill>
        </w:rPr>
        <w:t xml:space="preserve">298万元。</w:t>
      </w:r>
      <w:r/>
    </w:p>
    <w:p>
      <w:pPr>
        <w:pStyle w:val="1142"/>
        <w:ind w:firstLine="480"/>
        <w:rPr>
          <w:rFonts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4.最高限价：</w:t>
      </w:r>
      <w:r>
        <w:rPr>
          <w:rFonts w:hint="eastAsia"/>
          <w:color w:val="000000" w:themeColor="text1"/>
          <w:sz w:val="24"/>
          <w:szCs w:val="24"/>
          <w:highlight w:val="none"/>
          <w:lang w:val="en-US" w:eastAsia="zh-CN"/>
          <w14:textFill>
            <w14:solidFill>
              <w14:schemeClr w14:val="tx1"/>
            </w14:solidFill>
          </w14:textFill>
        </w:rPr>
        <w:t xml:space="preserve">234.662819</w:t>
      </w:r>
      <w:r>
        <w:rPr>
          <w:rFonts w:hint="eastAsia"/>
          <w:color w:val="000000" w:themeColor="text1"/>
          <w:sz w:val="24"/>
          <w:szCs w:val="24"/>
          <w:highlight w:val="none"/>
          <w:lang w:val="en-US"/>
          <w14:textFill>
            <w14:solidFill>
              <w14:schemeClr w14:val="tx1"/>
            </w14:solidFill>
          </w14:textFill>
        </w:rPr>
        <w:t xml:space="preserve">万元</w:t>
      </w:r>
      <w:r>
        <w:rPr>
          <w:rFonts w:hint="eastAsia"/>
          <w:color w:val="000000" w:themeColor="text1"/>
          <w:sz w:val="24"/>
          <w:szCs w:val="24"/>
          <w:highlight w:val="none"/>
          <w14:textFill>
            <w14:solidFill>
              <w14:schemeClr w14:val="tx1"/>
            </w14:solidFill>
          </w14:textFill>
        </w:rPr>
        <w:t xml:space="preserve">。</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采购需求：依标准实施华严庵、胜棋楼、郁金堂、苏合厢四处展厅及附属建筑、庭院展陈品质提升。项目改造方案严格遵守文物保护相关规定，通过专家策展服务，深挖莫愁文化、梳理历史脉络、精耕展陈内容、讲好莫愁故事、创新展陈形式。通过文物保护和专业布展，打破单纯静态陈列、适度增加科技化和智能化系统集成，打造莫愁女数字人物IP，强调数字化场景互动。</w:t>
      </w:r>
      <w:r/>
    </w:p>
    <w:p>
      <w:pPr>
        <w:pStyle w:val="1142"/>
        <w:ind w:firstLine="480"/>
        <w:rPr>
          <w:color w:val="000000" w:themeColor="text1"/>
          <w:sz w:val="24"/>
          <w:szCs w:val="24"/>
          <w:highlight w:val="none"/>
          <w:lang w:val="en-US"/>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6.服务期限：</w:t>
      </w:r>
      <w:r>
        <w:rPr>
          <w:rFonts w:hint="eastAsia"/>
          <w:color w:val="000000" w:themeColor="text1"/>
          <w:sz w:val="24"/>
          <w:szCs w:val="24"/>
          <w:highlight w:val="none"/>
          <w:lang w:val="en-US"/>
          <w14:textFill>
            <w14:solidFill>
              <w14:schemeClr w14:val="tx1"/>
            </w14:solidFill>
          </w14:textFill>
        </w:rPr>
        <w:t xml:space="preserve">60日历天</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w:t>
      </w:r>
      <w:r>
        <w:rPr>
          <w:rFonts w:hint="eastAsia" w:cs="宋体"/>
          <w:color w:val="000000" w:themeColor="text1"/>
          <w:sz w:val="24"/>
          <w:szCs w:val="24"/>
          <w:highlight w:val="none"/>
          <w14:textFill>
            <w14:solidFill>
              <w14:schemeClr w14:val="tx1"/>
            </w14:solidFill>
          </w14:textFill>
        </w:rPr>
        <w:t xml:space="preserve">本项目</w:t>
      </w:r>
      <w:r>
        <w:rPr>
          <w:rFonts w:hint="eastAsia" w:cs="宋体"/>
          <w:b/>
          <w:color w:val="000000" w:themeColor="text1"/>
          <w:sz w:val="24"/>
          <w:szCs w:val="24"/>
          <w:highlight w:val="none"/>
          <w14:textFill>
            <w14:solidFill>
              <w14:schemeClr w14:val="tx1"/>
            </w14:solidFill>
          </w14:textFill>
        </w:rPr>
        <w:t xml:space="preserve">不接受</w:t>
      </w:r>
      <w:r>
        <w:rPr>
          <w:rFonts w:hint="eastAsia" w:cs="宋体"/>
          <w:color w:val="000000" w:themeColor="text1"/>
          <w:sz w:val="24"/>
          <w:szCs w:val="24"/>
          <w:highlight w:val="none"/>
          <w14:textFill>
            <w14:solidFill>
              <w14:schemeClr w14:val="tx1"/>
            </w14:solidFill>
          </w14:textFill>
        </w:rPr>
        <w:t xml:space="preserve">联合体投标。</w:t>
      </w:r>
      <w:bookmarkEnd w:id="16"/>
      <w:r/>
      <w:bookmarkEnd w:id="17"/>
      <w:r/>
      <w:r/>
    </w:p>
    <w:p>
      <w:pPr>
        <w:pStyle w:val="724"/>
        <w:rPr>
          <w:rFonts w:cs="Times New Roman"/>
          <w:b/>
          <w:color w:val="000000" w:themeColor="text1"/>
          <w:highlight w:val="none"/>
          <w14:textFill>
            <w14:solidFill>
              <w14:schemeClr w14:val="tx1"/>
            </w14:solidFill>
          </w14:textFill>
        </w:rPr>
      </w:pPr>
      <w:r/>
      <w:bookmarkStart w:id="18" w:name="_Toc28359003"/>
      <w:r/>
      <w:bookmarkStart w:id="19" w:name="_Toc38985264"/>
      <w:r/>
      <w:bookmarkStart w:id="20" w:name="_Toc28359080"/>
      <w:r/>
      <w:bookmarkStart w:id="21" w:name="_Toc35393622"/>
      <w:r/>
      <w:bookmarkStart w:id="22" w:name="_Toc29055"/>
      <w:r/>
      <w:bookmarkStart w:id="23" w:name="_Toc35393791"/>
      <w:r>
        <w:rPr>
          <w:rFonts w:hint="eastAsia" w:cs="Times New Roman"/>
          <w:b/>
          <w:color w:val="000000" w:themeColor="text1"/>
          <w:highlight w:val="none"/>
          <w14:textFill>
            <w14:solidFill>
              <w14:schemeClr w14:val="tx1"/>
            </w14:solidFill>
          </w14:textFill>
        </w:rPr>
        <w:t xml:space="preserve">二、申请人的资格要求</w:t>
      </w:r>
      <w:bookmarkEnd w:id="18"/>
      <w:r/>
      <w:bookmarkEnd w:id="19"/>
      <w:r/>
      <w:bookmarkEnd w:id="20"/>
      <w:r/>
      <w:bookmarkEnd w:id="21"/>
      <w:r/>
      <w:bookmarkEnd w:id="22"/>
      <w:r/>
      <w:bookmarkEnd w:id="23"/>
      <w:r/>
      <w:r/>
    </w:p>
    <w:p>
      <w:pPr>
        <w:pStyle w:val="1142"/>
        <w:ind w:firstLine="480"/>
        <w:rPr>
          <w:color w:val="000000" w:themeColor="text1"/>
          <w:sz w:val="24"/>
          <w:szCs w:val="24"/>
          <w:highlight w:val="none"/>
          <w14:textFill>
            <w14:solidFill>
              <w14:schemeClr w14:val="tx1"/>
            </w14:solidFill>
          </w14:textFill>
        </w:rPr>
      </w:pPr>
      <w:r/>
      <w:bookmarkStart w:id="24" w:name="_Toc28359081"/>
      <w:r/>
      <w:bookmarkStart w:id="25" w:name="_Toc38985265"/>
      <w:r/>
      <w:bookmarkStart w:id="26" w:name="_Toc35393623"/>
      <w:r/>
      <w:bookmarkStart w:id="27" w:name="_Toc28359004"/>
      <w:r/>
      <w:bookmarkStart w:id="28" w:name="_Toc35393792"/>
      <w:r>
        <w:rPr>
          <w:rFonts w:hint="eastAsia"/>
          <w:color w:val="000000" w:themeColor="text1"/>
          <w:sz w:val="24"/>
          <w:szCs w:val="24"/>
          <w:highlight w:val="none"/>
          <w14:textFill>
            <w14:solidFill>
              <w14:schemeClr w14:val="tx1"/>
            </w14:solidFill>
          </w14:textFill>
        </w:rPr>
        <w:t xml:space="preserve">（一</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通用</w:t>
      </w:r>
      <w:r>
        <w:rPr>
          <w:color w:val="000000" w:themeColor="text1"/>
          <w:sz w:val="24"/>
          <w:szCs w:val="24"/>
          <w:highlight w:val="none"/>
          <w14:textFill>
            <w14:solidFill>
              <w14:schemeClr w14:val="tx1"/>
            </w14:solidFill>
          </w14:textFill>
        </w:rPr>
        <w:t xml:space="preserve">资格要求</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w:t>
      </w:r>
      <w:bookmarkStart w:id="29" w:name="OLE_LINK16"/>
      <w:r>
        <w:rPr>
          <w:rFonts w:hint="eastAsia"/>
          <w:color w:val="000000" w:themeColor="text1"/>
          <w:sz w:val="24"/>
          <w:szCs w:val="24"/>
          <w:highlight w:val="none"/>
          <w14:textFill>
            <w14:solidFill>
              <w14:schemeClr w14:val="tx1"/>
            </w14:solidFill>
          </w14:textFill>
        </w:rPr>
        <w:t xml:space="preserve">具有独立承担民事责任的能力（提供法人或者其他组织的营业执照；供应商为自然人的，提供其身份证）；</w:t>
      </w:r>
      <w:bookmarkEnd w:id="29"/>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（2）具有良好的商业信誉和健全的财务会计制度（提供202</w:t>
      </w:r>
      <w:r>
        <w:rPr>
          <w:rFonts w:hint="eastAsia"/>
          <w:color w:val="000000" w:themeColor="text1"/>
          <w:sz w:val="24"/>
          <w:szCs w:val="24"/>
          <w:highlight w:val="none"/>
          <w:lang w:val="en-US"/>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年度或202</w:t>
      </w:r>
      <w:r>
        <w:rPr>
          <w:rFonts w:hint="eastAsia"/>
          <w:color w:val="000000" w:themeColor="text1"/>
          <w:sz w:val="24"/>
          <w:szCs w:val="24"/>
          <w:highlight w:val="none"/>
          <w:lang w:val="en-US"/>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年度经审计的财务报告，或投标截止时间前六个月内银行出具的资信证明，或财政部门认可的政府采购专业担保机构出具的投标担保函）；</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w:t>
      </w:r>
      <w:bookmarkStart w:id="30" w:name="OLE_LINK17"/>
      <w:r>
        <w:rPr>
          <w:rFonts w:hint="eastAsia"/>
          <w:color w:val="000000" w:themeColor="text1"/>
          <w:sz w:val="24"/>
          <w:szCs w:val="24"/>
          <w:highlight w:val="none"/>
          <w14:textFill>
            <w14:solidFill>
              <w14:schemeClr w14:val="tx1"/>
            </w14:solidFill>
          </w14:textFill>
        </w:rPr>
        <w:t xml:space="preserve">具有履行合同所必需的设备和专业技术能力（供应商根据履行采购项目合同需要，提供履行合同所必需的设备和专业技术能力的证明材料或承诺函，承诺函格式自拟）；</w:t>
      </w:r>
      <w:bookmarkEnd w:id="30"/>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w:t>
      </w:r>
      <w:bookmarkStart w:id="31" w:name="OLE_LINK19"/>
      <w:r/>
      <w:bookmarkStart w:id="32" w:name="OLE_LINK18"/>
      <w:r>
        <w:rPr>
          <w:rFonts w:hint="eastAsia"/>
          <w:color w:val="000000" w:themeColor="text1"/>
          <w:sz w:val="24"/>
          <w:szCs w:val="24"/>
          <w:highlight w:val="none"/>
          <w14:textFill>
            <w14:solidFill>
              <w14:schemeClr w14:val="tx1"/>
            </w14:solidFill>
          </w14:textFill>
        </w:rPr>
        <w:t xml:space="preserve">具有依法缴纳税收和社会保障资金的良好记录（提供参加本次政府采购活动前半年内（至少一个月）依法缴纳税收和社会保障资金的相关资料，根据国家相关政策免缴或迟缴的需要提供相关证明材料）；</w:t>
      </w:r>
      <w:bookmarkEnd w:id="31"/>
      <w:r/>
      <w:bookmarkEnd w:id="32"/>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w:t>
      </w:r>
      <w:bookmarkStart w:id="33" w:name="OLE_LINK21"/>
      <w:r/>
      <w:bookmarkStart w:id="34" w:name="OLE_LINK20"/>
      <w:r>
        <w:rPr>
          <w:rFonts w:hint="eastAsia"/>
          <w:color w:val="000000" w:themeColor="text1"/>
          <w:sz w:val="24"/>
          <w:szCs w:val="24"/>
          <w:highlight w:val="none"/>
          <w14:textFill>
            <w14:solidFill>
              <w14:schemeClr w14:val="tx1"/>
            </w14:solidFill>
          </w14:textFill>
        </w:rPr>
        <w:t xml:space="preserve">参加政府采购活动前三年内，在经营活动中没有重大违法记录（提供参加本次政府采购活动前3年内在经营活动中没有重大违法记录的书面声明）；</w:t>
      </w:r>
      <w:bookmarkEnd w:id="33"/>
      <w:r/>
      <w:bookmarkEnd w:id="34"/>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w:t>
      </w:r>
      <w:bookmarkStart w:id="35" w:name="OLE_LINK22"/>
      <w:r/>
      <w:bookmarkStart w:id="36" w:name="OLE_LINK23"/>
      <w:r>
        <w:rPr>
          <w:rFonts w:hint="eastAsia"/>
          <w:color w:val="000000" w:themeColor="text1"/>
          <w:sz w:val="24"/>
          <w:szCs w:val="24"/>
          <w:highlight w:val="none"/>
          <w14:textFill>
            <w14:solidFill>
              <w14:schemeClr w14:val="tx1"/>
            </w14:solidFill>
          </w14:textFill>
        </w:rPr>
        <w:t xml:space="preserve">法律、行政法规规定的其他条件。</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注： </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根据《关于在政府采购活动中推行信用承诺制的通知》（宁财购通[2021]5号）的规定，供应商可以在响应文件中一次性提交满足《中华人民共和国政府采购法》第二十二条规定的证明材料；</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也可以在响应文件中提供满足相应条件的书面承诺书《南京市政府采购供应商信用承诺书》,承诺书签字盖章要求详见本章“六、其他事宜”。</w:t>
      </w:r>
      <w:bookmarkEnd w:id="35"/>
      <w:r/>
      <w:bookmarkEnd w:id="36"/>
      <w:r/>
      <w:r/>
    </w:p>
    <w:p>
      <w:pPr>
        <w:pStyle w:val="1142"/>
        <w:ind w:firstLine="480"/>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2.落实政府采购政策需满足的资格要求： </w:t>
      </w:r>
      <w:r>
        <w:rPr>
          <w:rFonts w:hint="eastAsia" w:cs="宋体"/>
          <w:bCs/>
          <w:color w:val="000000" w:themeColor="text1"/>
          <w:sz w:val="24"/>
          <w:szCs w:val="24"/>
          <w:highlight w:val="none"/>
          <w:shd w:val="clear" w:color="auto" w:fill="ffffff"/>
          <w14:textFill>
            <w14:solidFill>
              <w14:schemeClr w14:val="tx1"/>
            </w14:solidFill>
          </w14:textFill>
        </w:rPr>
        <w:t xml:space="preserve">本项目按照采用以下第</w:t>
      </w:r>
      <w:r>
        <w:rPr>
          <w:rFonts w:hint="eastAsia" w:cs="宋体"/>
          <w:b/>
          <w:color w:val="000000" w:themeColor="text1"/>
          <w:sz w:val="24"/>
          <w:szCs w:val="24"/>
          <w:highlight w:val="none"/>
          <w:u w:val="single"/>
          <w:shd w:val="clear" w:color="auto" w:fill="ffffff"/>
          <w14:textFill>
            <w14:solidFill>
              <w14:schemeClr w14:val="tx1"/>
            </w14:solidFill>
          </w14:textFill>
        </w:rPr>
        <w:t xml:space="preserve">（</w:t>
      </w:r>
      <w:r>
        <w:rPr>
          <w:rFonts w:ascii="Times New Roman" w:hAnsi="Times New Roman"/>
          <w:b/>
          <w:color w:val="000000" w:themeColor="text1"/>
          <w:sz w:val="24"/>
          <w:szCs w:val="24"/>
          <w:highlight w:val="none"/>
          <w:u w:val="single"/>
          <w:shd w:val="clear" w:color="auto" w:fill="ffffff"/>
          <w14:textFill>
            <w14:solidFill>
              <w14:schemeClr w14:val="tx1"/>
            </w14:solidFill>
          </w14:textFill>
        </w:rPr>
        <w:t xml:space="preserve">4</w:t>
      </w:r>
      <w:r>
        <w:rPr>
          <w:rFonts w:hint="eastAsia" w:cs="宋体"/>
          <w:b/>
          <w:color w:val="000000" w:themeColor="text1"/>
          <w:sz w:val="24"/>
          <w:szCs w:val="24"/>
          <w:highlight w:val="none"/>
          <w:u w:val="single"/>
          <w:shd w:val="clear" w:color="auto" w:fill="ffffff"/>
          <w14:textFill>
            <w14:solidFill>
              <w14:schemeClr w14:val="tx1"/>
            </w14:solidFill>
          </w14:textFill>
        </w:rPr>
        <w:t xml:space="preserve">）</w:t>
      </w:r>
      <w:r>
        <w:rPr>
          <w:rFonts w:hint="eastAsia" w:cs="宋体"/>
          <w:bCs/>
          <w:color w:val="000000" w:themeColor="text1"/>
          <w:sz w:val="24"/>
          <w:szCs w:val="24"/>
          <w:highlight w:val="none"/>
          <w:shd w:val="clear" w:color="auto" w:fill="ffffff"/>
          <w14:textFill>
            <w14:solidFill>
              <w14:schemeClr w14:val="tx1"/>
            </w14:solidFill>
          </w14:textFill>
        </w:rPr>
        <w:t xml:space="preserve">种方式落实政府采购促进中小企业发展的要求：</w:t>
      </w:r>
      <w:r/>
    </w:p>
    <w:p>
      <w:pPr>
        <w:pStyle w:val="782"/>
        <w:ind w:firstLine="480"/>
        <w:spacing w:before="0" w:beforeAutospacing="0" w:after="0" w:afterAutospacing="0" w:line="460" w:lineRule="exact"/>
        <w:shd w:val="clear" w:color="auto" w:fill="ffffff"/>
        <w:widowControl w:val="off"/>
        <w:rPr>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shd w:val="clear" w:color="auto" w:fill="ffffff"/>
          <w14:textFill>
            <w14:solidFill>
              <w14:schemeClr w14:val="tx1"/>
            </w14:solidFill>
          </w14:textFill>
        </w:rPr>
        <w:t xml:space="preserve">（</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1</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）本项目整体专门面向中小微企业采购服务。 </w:t>
      </w:r>
      <w:r/>
    </w:p>
    <w:p>
      <w:pPr>
        <w:pStyle w:val="782"/>
        <w:ind w:firstLine="480"/>
        <w:spacing w:before="0" w:beforeAutospacing="0" w:after="0" w:afterAutospacing="0" w:line="460" w:lineRule="exact"/>
        <w:shd w:val="clear" w:color="auto" w:fill="ffffff"/>
        <w:widowControl w:val="off"/>
        <w:rPr>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shd w:val="clear" w:color="auto" w:fill="ffffff"/>
          <w14:textFill>
            <w14:solidFill>
              <w14:schemeClr w14:val="tx1"/>
            </w14:solidFill>
          </w14:textFill>
        </w:rPr>
        <w:t xml:space="preserve">（</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2</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）本项目整体专门面向小微企业采购服务。 </w:t>
      </w:r>
      <w:r/>
    </w:p>
    <w:p>
      <w:pPr>
        <w:pStyle w:val="782"/>
        <w:ind w:firstLine="480"/>
        <w:spacing w:before="0" w:beforeAutospacing="0" w:after="0" w:afterAutospacing="0" w:line="460" w:lineRule="exact"/>
        <w:shd w:val="clear" w:color="auto" w:fill="ffffff"/>
        <w:widowControl w:val="off"/>
        <w:rPr>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shd w:val="clear" w:color="auto" w:fill="ffffff"/>
          <w14:textFill>
            <w14:solidFill>
              <w14:schemeClr w14:val="tx1"/>
            </w14:solidFill>
          </w14:textFill>
        </w:rPr>
        <w:t xml:space="preserve">（</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3</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）本项目通过以下第（</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）种方式预留部分采购份额采购中小企业服务： ①本项目要求供应商以联合体形式参加，中小企业合同金额应当达到的比例为</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，其中小微企业所占比例应为 </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（两项比例均应符合《 政府采购促进中小企业发展管理办法》第八条规定）。 ②本项目要求供应商进行合同分包，中小企业合同金额应当达到的比例为</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，其中小微企业所占比例应为 </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（两项比例均应符合《政府采购促进中小企业发展管理办法》第八条规定）。 </w:t>
      </w:r>
      <w:r/>
    </w:p>
    <w:p>
      <w:pPr>
        <w:pStyle w:val="782"/>
        <w:ind w:firstLine="480"/>
        <w:spacing w:before="0" w:beforeAutospacing="0" w:after="0" w:afterAutospacing="0" w:line="460" w:lineRule="exact"/>
        <w:shd w:val="clear" w:color="auto" w:fill="ffffff"/>
        <w:widowControl w:val="off"/>
        <w:rPr>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shd w:val="clear" w:color="auto" w:fill="ffffff"/>
          <w14:textFill>
            <w14:solidFill>
              <w14:schemeClr w14:val="tx1"/>
            </w14:solidFill>
          </w14:textFill>
        </w:rPr>
        <w:t xml:space="preserve">（</w:t>
      </w:r>
      <w:r>
        <w:rPr>
          <w:rFonts w:ascii="Times New Roman" w:hAnsi="Times New Roman" w:eastAsia="宋体" w:cs="Times New Roman"/>
          <w:bCs/>
          <w:color w:val="000000" w:themeColor="text1"/>
          <w:highlight w:val="none"/>
          <w:shd w:val="clear" w:color="auto" w:fill="ffffff"/>
          <w14:textFill>
            <w14:solidFill>
              <w14:schemeClr w14:val="tx1"/>
            </w14:solidFill>
          </w14:textFill>
        </w:rPr>
        <w:t xml:space="preserve">4</w:t>
      </w:r>
      <w:r>
        <w:rPr>
          <w:rFonts w:hint="eastAsia" w:ascii="宋体" w:hAnsi="宋体" w:eastAsia="宋体" w:cs="宋体"/>
          <w:bCs/>
          <w:color w:val="000000" w:themeColor="text1"/>
          <w:highlight w:val="none"/>
          <w:shd w:val="clear" w:color="auto" w:fill="ffffff"/>
          <w14:textFill>
            <w14:solidFill>
              <w14:schemeClr w14:val="tx1"/>
            </w14:solidFill>
          </w14:textFill>
        </w:rPr>
        <w:t xml:space="preserve">）本项目为非预留份额的采购项目或采购包，执行价格扣除优惠政策，具体详见第五章评标办法与标准。</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本项目采购标的对应的中小企业划分标准所属行业为：</w:t>
      </w:r>
      <w:r>
        <w:rPr>
          <w:rFonts w:hint="eastAsia"/>
          <w:b/>
          <w:color w:val="000000" w:themeColor="text1"/>
          <w:sz w:val="24"/>
          <w:szCs w:val="24"/>
          <w:highlight w:val="none"/>
          <w:lang w:val="en-US" w:eastAsia="zh-CN"/>
          <w14:textFill>
            <w14:solidFill>
              <w14:schemeClr w14:val="tx1"/>
            </w14:solidFill>
          </w14:textFill>
        </w:rPr>
        <w:t xml:space="preserve">租赁和商务服务业</w:t>
      </w:r>
      <w:r>
        <w:rPr>
          <w:rFonts w:hint="eastAsia"/>
          <w:b/>
          <w:color w:val="000000" w:themeColor="text1"/>
          <w:sz w:val="24"/>
          <w:szCs w:val="24"/>
          <w:highlight w:val="none"/>
          <w14:textFill>
            <w14:solidFill>
              <w14:schemeClr w14:val="tx1"/>
            </w14:solidFill>
          </w14:textFill>
        </w:rPr>
        <w:t xml:space="preserve">。</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（二）本项目的特定资格要求：</w:t>
      </w:r>
      <w:r>
        <w:rPr>
          <w:rFonts w:hint="eastAsia"/>
          <w:b/>
          <w:color w:val="000000" w:themeColor="text1"/>
          <w:sz w:val="24"/>
          <w:szCs w:val="24"/>
          <w:highlight w:val="none"/>
          <w14:textFill>
            <w14:solidFill>
              <w14:schemeClr w14:val="tx1"/>
            </w14:solidFill>
          </w14:textFill>
        </w:rPr>
        <w:t xml:space="preserve">无。</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（三）拒绝下述供应商参加本次采购活动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1.单位负责人为同一人或者存在直接控股、管理关系的不同供应商，不得参加同一合同项下的政府采购活动。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2.为采购项目提供整体设计、规范编制或者项目管理、监理、检测等服务的供应商，不得参加本项目的采购活动。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3.供应商被“信用中国”网站（www.creditchina.gov.cn）、“中国政府采购网”(www.ccgp.gov.cn)列入失信被执行人、重大税收违法失信主体名单、政府采购严重违法失信行为记录名单。</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4）供应商未按照采购文件要求提供《中华人民共和国政府采购法》第二十二条规定的证明材料或者未按照采购文件要求提供完整的《南京市政府采购供应商信用承诺书》的。</w:t>
      </w:r>
      <w:r/>
    </w:p>
    <w:p>
      <w:pPr>
        <w:pStyle w:val="724"/>
        <w:rPr>
          <w:rFonts w:cs="Times New Roman"/>
          <w:b/>
          <w:color w:val="000000" w:themeColor="text1"/>
          <w:highlight w:val="none"/>
          <w14:textFill>
            <w14:solidFill>
              <w14:schemeClr w14:val="tx1"/>
            </w14:solidFill>
          </w14:textFill>
        </w:rPr>
      </w:pPr>
      <w:r/>
      <w:bookmarkStart w:id="37" w:name="_Toc27903"/>
      <w:r>
        <w:rPr>
          <w:rFonts w:hint="eastAsia" w:cs="Times New Roman"/>
          <w:b/>
          <w:color w:val="000000" w:themeColor="text1"/>
          <w:highlight w:val="none"/>
          <w14:textFill>
            <w14:solidFill>
              <w14:schemeClr w14:val="tx1"/>
            </w14:solidFill>
          </w14:textFill>
        </w:rPr>
        <w:t xml:space="preserve">三、获取招标文件</w:t>
      </w:r>
      <w:bookmarkEnd w:id="24"/>
      <w:r/>
      <w:bookmarkEnd w:id="25"/>
      <w:r/>
      <w:bookmarkEnd w:id="26"/>
      <w:r/>
      <w:bookmarkEnd w:id="27"/>
      <w:r/>
      <w:bookmarkEnd w:id="28"/>
      <w:r/>
      <w:bookmarkEnd w:id="37"/>
      <w:r/>
      <w:r/>
    </w:p>
    <w:p>
      <w:pPr>
        <w:pStyle w:val="1142"/>
        <w:ind w:firstLine="480"/>
        <w:rPr>
          <w:color w:val="000000" w:themeColor="text1"/>
          <w:sz w:val="24"/>
          <w:szCs w:val="24"/>
          <w:highlight w:val="none"/>
          <w14:textFill>
            <w14:solidFill>
              <w14:schemeClr w14:val="tx1"/>
            </w14:solidFill>
          </w14:textFill>
        </w:rPr>
      </w:pPr>
      <w:r/>
      <w:bookmarkStart w:id="38" w:name="_Toc28359082"/>
      <w:r/>
      <w:bookmarkStart w:id="39" w:name="_Toc28359005"/>
      <w:r/>
      <w:bookmarkStart w:id="40" w:name="_Toc38985266"/>
      <w:r/>
      <w:bookmarkStart w:id="41" w:name="_Toc35393793"/>
      <w:r/>
      <w:bookmarkStart w:id="42" w:name="_Toc35393624"/>
      <w:r>
        <w:rPr>
          <w:rFonts w:hint="eastAsia"/>
          <w:color w:val="000000" w:themeColor="text1"/>
          <w:sz w:val="24"/>
          <w:szCs w:val="24"/>
          <w:highlight w:val="none"/>
          <w14:textFill>
            <w14:solidFill>
              <w14:schemeClr w14:val="tx1"/>
            </w14:solidFill>
          </w14:textFill>
        </w:rPr>
        <w:t xml:space="preserve">时间：自招标文件公告发布之日起5个工作日 </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地点：江苏政府采购网“苏采云”系统 </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方式：供应商登录江苏政府采购网，在网站首页点击“苏采云”系统自行免费下载 </w:t>
      </w:r>
      <w:r/>
    </w:p>
    <w:p>
      <w:pPr>
        <w:pStyle w:val="1142"/>
        <w:ind w:firstLine="480"/>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售价：0.00元</w:t>
      </w:r>
      <w:r/>
    </w:p>
    <w:p>
      <w:pPr>
        <w:pStyle w:val="724"/>
        <w:rPr>
          <w:rFonts w:cs="Times New Roman"/>
          <w:b/>
          <w:color w:val="000000" w:themeColor="text1"/>
          <w:highlight w:val="none"/>
          <w14:textFill>
            <w14:solidFill>
              <w14:schemeClr w14:val="tx1"/>
            </w14:solidFill>
          </w14:textFill>
        </w:rPr>
      </w:pPr>
      <w:r/>
      <w:bookmarkStart w:id="43" w:name="_Toc22901"/>
      <w:r>
        <w:rPr>
          <w:rFonts w:hint="eastAsia" w:cs="Times New Roman"/>
          <w:b/>
          <w:color w:val="000000" w:themeColor="text1"/>
          <w:highlight w:val="none"/>
          <w14:textFill>
            <w14:solidFill>
              <w14:schemeClr w14:val="tx1"/>
            </w14:solidFill>
          </w14:textFill>
        </w:rPr>
        <w:t xml:space="preserve">四、提交投标文件</w:t>
      </w:r>
      <w:bookmarkEnd w:id="38"/>
      <w:r/>
      <w:bookmarkEnd w:id="39"/>
      <w:r>
        <w:rPr>
          <w:rFonts w:hint="eastAsia" w:cs="Times New Roman"/>
          <w:b/>
          <w:color w:val="000000" w:themeColor="text1"/>
          <w:highlight w:val="none"/>
          <w14:textFill>
            <w14:solidFill>
              <w14:schemeClr w14:val="tx1"/>
            </w14:solidFill>
          </w14:textFill>
        </w:rPr>
        <w:t xml:space="preserve">截止时间、开标时间和地点</w:t>
      </w:r>
      <w:bookmarkEnd w:id="40"/>
      <w:r/>
      <w:bookmarkEnd w:id="41"/>
      <w:r/>
      <w:bookmarkEnd w:id="42"/>
      <w:r/>
      <w:bookmarkEnd w:id="43"/>
      <w:r/>
      <w:r/>
    </w:p>
    <w:p>
      <w:pPr>
        <w:pStyle w:val="1142"/>
        <w:ind w:firstLine="480"/>
        <w:rPr>
          <w:bCs/>
          <w:color w:val="000000" w:themeColor="text1"/>
          <w:sz w:val="24"/>
          <w:szCs w:val="24"/>
          <w:highlight w:val="none"/>
          <w:u w:val="single"/>
          <w14:textFill>
            <w14:solidFill>
              <w14:schemeClr w14:val="tx1"/>
            </w14:solidFill>
          </w14:textFill>
        </w:rPr>
      </w:pPr>
      <w:r/>
      <w:bookmarkStart w:id="44" w:name="_Toc35393625"/>
      <w:r/>
      <w:bookmarkStart w:id="45" w:name="_Toc28359007"/>
      <w:r/>
      <w:bookmarkStart w:id="46" w:name="_Toc38985267"/>
      <w:r/>
      <w:bookmarkStart w:id="47" w:name="_Toc35393794"/>
      <w:r/>
      <w:bookmarkStart w:id="48" w:name="_Toc28359084"/>
      <w:r>
        <w:rPr>
          <w:rFonts w:hint="eastAsia"/>
          <w:color w:val="000000" w:themeColor="text1"/>
          <w:sz w:val="24"/>
          <w:szCs w:val="24"/>
          <w:highlight w:val="none"/>
          <w14:textFill>
            <w14:solidFill>
              <w14:schemeClr w14:val="tx1"/>
            </w14:solidFill>
          </w14:textFill>
        </w:rPr>
        <w:t xml:space="preserve">提交投标文件截止时间、开标时间：</w:t>
      </w:r>
      <w:r>
        <w:rPr>
          <w:rFonts w:hint="eastAsia"/>
          <w:bCs/>
          <w:color w:val="000000" w:themeColor="text1"/>
          <w:sz w:val="24"/>
          <w:szCs w:val="24"/>
          <w:highlight w:val="none"/>
          <w14:textFill>
            <w14:solidFill>
              <w14:schemeClr w14:val="tx1"/>
            </w14:solidFill>
          </w14:textFill>
        </w:rPr>
        <w:t xml:space="preserve">20</w:t>
      </w:r>
      <w:r>
        <w:rPr>
          <w:rFonts w:hint="eastAsia"/>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lang w:val="en-US"/>
          <w14:textFill>
            <w14:solidFill>
              <w14:schemeClr w14:val="tx1"/>
            </w14:solidFill>
          </w14:textFill>
        </w:rPr>
        <w:t xml:space="preserve">6</w:t>
      </w:r>
      <w:r>
        <w:rPr>
          <w:rFonts w:hint="eastAsia"/>
          <w:bCs/>
          <w:color w:val="000000" w:themeColor="text1"/>
          <w:sz w:val="24"/>
          <w:szCs w:val="24"/>
          <w:highlight w:val="none"/>
          <w14:textFill>
            <w14:solidFill>
              <w14:schemeClr w14:val="tx1"/>
            </w14:solidFill>
          </w14:textFill>
        </w:rPr>
        <w:t xml:space="preserve">年</w:t>
      </w:r>
      <w:r>
        <w:rPr>
          <w:rFonts w:hint="eastAsia"/>
          <w:bCs/>
          <w:color w:val="000000" w:themeColor="text1"/>
          <w:sz w:val="24"/>
          <w:szCs w:val="24"/>
          <w:highlight w:val="none"/>
          <w:lang w:val="en-US" w:eastAsia="zh-CN"/>
          <w14:textFill>
            <w14:solidFill>
              <w14:schemeClr w14:val="tx1"/>
            </w14:solidFill>
          </w14:textFill>
        </w:rPr>
        <w:t xml:space="preserve">11</w:t>
      </w:r>
      <w:r>
        <w:rPr>
          <w:rFonts w:hint="eastAsia"/>
          <w:bCs/>
          <w:color w:val="000000" w:themeColor="text1"/>
          <w:sz w:val="24"/>
          <w:szCs w:val="24"/>
          <w:highlight w:val="none"/>
          <w14:textFill>
            <w14:solidFill>
              <w14:schemeClr w14:val="tx1"/>
            </w14:solidFill>
          </w14:textFill>
        </w:rPr>
        <w:t xml:space="preserve">月</w:t>
      </w:r>
      <w:r>
        <w:rPr>
          <w:rFonts w:hint="eastAsia"/>
          <w:bCs/>
          <w:color w:val="000000" w:themeColor="text1"/>
          <w:sz w:val="24"/>
          <w:szCs w:val="24"/>
          <w:highlight w:val="none"/>
          <w:lang w:val="en-US" w:eastAsia="zh-CN"/>
          <w14:textFill>
            <w14:solidFill>
              <w14:schemeClr w14:val="tx1"/>
            </w14:solidFill>
          </w14:textFill>
        </w:rPr>
        <w:t xml:space="preserve">10</w:t>
      </w:r>
      <w:r>
        <w:rPr>
          <w:rFonts w:hint="eastAsia"/>
          <w:bCs/>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14:textFill>
            <w14:solidFill>
              <w14:schemeClr w14:val="tx1"/>
            </w14:solidFill>
          </w14:textFill>
        </w:rPr>
        <w:t xml:space="preserve">14</w:t>
      </w:r>
      <w:r>
        <w:rPr>
          <w:rFonts w:hint="eastAsia"/>
          <w:bCs/>
          <w:color w:val="000000" w:themeColor="text1"/>
          <w:sz w:val="24"/>
          <w:szCs w:val="24"/>
          <w:highlight w:val="none"/>
          <w14:textFill>
            <w14:solidFill>
              <w14:schemeClr w14:val="tx1"/>
            </w14:solidFill>
          </w14:textFill>
        </w:rPr>
        <w:t xml:space="preserve">时</w:t>
      </w:r>
      <w:r>
        <w:rPr>
          <w:rFonts w:hint="eastAsia"/>
          <w:color w:val="000000" w:themeColor="text1"/>
          <w:sz w:val="24"/>
          <w:szCs w:val="24"/>
          <w:highlight w:val="none"/>
          <w14:textFill>
            <w14:solidFill>
              <w14:schemeClr w14:val="tx1"/>
            </w14:solidFill>
          </w14:textFill>
        </w:rPr>
        <w:t xml:space="preserve">30</w:t>
      </w:r>
      <w:r>
        <w:rPr>
          <w:rFonts w:hint="eastAsia"/>
          <w:bCs/>
          <w:color w:val="000000" w:themeColor="text1"/>
          <w:sz w:val="24"/>
          <w:szCs w:val="24"/>
          <w:highlight w:val="none"/>
          <w14:textFill>
            <w14:solidFill>
              <w14:schemeClr w14:val="tx1"/>
            </w14:solidFill>
          </w14:textFill>
        </w:rPr>
        <w:t xml:space="preserve">分（北京时间）。</w:t>
      </w:r>
      <w:r/>
    </w:p>
    <w:p>
      <w:pPr>
        <w:pStyle w:val="1142"/>
        <w:ind w:firstLine="480"/>
        <w:rPr>
          <w:bCs/>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地点：江苏省政府采购交易系统(苏采云系统)网上开标大厅</w:t>
      </w:r>
      <w:r/>
    </w:p>
    <w:p>
      <w:pPr>
        <w:pStyle w:val="724"/>
        <w:rPr>
          <w:rFonts w:cs="Times New Roman"/>
          <w:b/>
          <w:color w:val="000000" w:themeColor="text1"/>
          <w:highlight w:val="none"/>
          <w14:textFill>
            <w14:solidFill>
              <w14:schemeClr w14:val="tx1"/>
            </w14:solidFill>
          </w14:textFill>
        </w:rPr>
      </w:pPr>
      <w:r/>
      <w:bookmarkStart w:id="49" w:name="_Toc18915"/>
      <w:r>
        <w:rPr>
          <w:rFonts w:hint="eastAsia" w:cs="Times New Roman"/>
          <w:b/>
          <w:color w:val="000000" w:themeColor="text1"/>
          <w:highlight w:val="none"/>
          <w14:textFill>
            <w14:solidFill>
              <w14:schemeClr w14:val="tx1"/>
            </w14:solidFill>
          </w14:textFill>
        </w:rPr>
        <w:t xml:space="preserve">五、公告期限</w:t>
      </w:r>
      <w:bookmarkEnd w:id="44"/>
      <w:r/>
      <w:bookmarkEnd w:id="45"/>
      <w:r/>
      <w:bookmarkEnd w:id="46"/>
      <w:r/>
      <w:bookmarkEnd w:id="47"/>
      <w:r/>
      <w:bookmarkEnd w:id="48"/>
      <w:r/>
      <w:bookmarkEnd w:id="49"/>
      <w:r/>
      <w:r/>
    </w:p>
    <w:p>
      <w:pPr>
        <w:pStyle w:val="1142"/>
        <w:ind w:firstLine="480"/>
        <w:rPr>
          <w:color w:val="000000" w:themeColor="text1"/>
          <w:sz w:val="24"/>
          <w:szCs w:val="24"/>
          <w:highlight w:val="none"/>
          <w14:textFill>
            <w14:solidFill>
              <w14:schemeClr w14:val="tx1"/>
            </w14:solidFill>
          </w14:textFill>
        </w:rPr>
      </w:pPr>
      <w:r/>
      <w:bookmarkStart w:id="50" w:name="_Toc38985268"/>
      <w:r/>
      <w:bookmarkStart w:id="51" w:name="_Toc35393626"/>
      <w:r/>
      <w:bookmarkStart w:id="52" w:name="_Toc35393795"/>
      <w:r>
        <w:rPr>
          <w:rFonts w:hint="eastAsia"/>
          <w:color w:val="000000" w:themeColor="text1"/>
          <w:sz w:val="24"/>
          <w:szCs w:val="24"/>
          <w:highlight w:val="none"/>
          <w14:textFill>
            <w14:solidFill>
              <w14:schemeClr w14:val="tx1"/>
            </w14:solidFill>
          </w14:textFill>
        </w:rPr>
        <w:t xml:space="preserve">自本公告发布之日起5个工作日。</w:t>
      </w:r>
      <w:r/>
    </w:p>
    <w:p>
      <w:pPr>
        <w:pStyle w:val="724"/>
        <w:rPr>
          <w:rFonts w:cs="Times New Roman"/>
          <w:b/>
          <w:color w:val="000000" w:themeColor="text1"/>
          <w:highlight w:val="none"/>
          <w14:textFill>
            <w14:solidFill>
              <w14:schemeClr w14:val="tx1"/>
            </w14:solidFill>
          </w14:textFill>
        </w:rPr>
      </w:pPr>
      <w:r/>
      <w:bookmarkStart w:id="53" w:name="_Toc7958"/>
      <w:r>
        <w:rPr>
          <w:rFonts w:hint="eastAsia" w:cs="Times New Roman"/>
          <w:b/>
          <w:color w:val="000000" w:themeColor="text1"/>
          <w:highlight w:val="none"/>
          <w14:textFill>
            <w14:solidFill>
              <w14:schemeClr w14:val="tx1"/>
            </w14:solidFill>
          </w14:textFill>
        </w:rPr>
        <w:t xml:space="preserve">六、其他事宜</w:t>
      </w:r>
      <w:bookmarkEnd w:id="50"/>
      <w:r/>
      <w:bookmarkEnd w:id="51"/>
      <w:r/>
      <w:bookmarkEnd w:id="52"/>
      <w:r/>
      <w:bookmarkEnd w:id="53"/>
      <w:r/>
      <w:r/>
    </w:p>
    <w:p>
      <w:pPr>
        <w:pStyle w:val="1142"/>
        <w:ind w:firstLine="480"/>
        <w:rPr>
          <w:color w:val="000000" w:themeColor="text1"/>
          <w:sz w:val="24"/>
          <w:szCs w:val="24"/>
          <w:highlight w:val="none"/>
          <w14:textFill>
            <w14:solidFill>
              <w14:schemeClr w14:val="tx1"/>
            </w14:solidFill>
          </w14:textFill>
        </w:rPr>
      </w:pPr>
      <w:r/>
      <w:bookmarkStart w:id="54" w:name="OLE_LINK59"/>
      <w:r/>
      <w:bookmarkStart w:id="55" w:name="OLE_LINK60"/>
      <w:r/>
      <w:bookmarkStart w:id="56" w:name="OLE_LINK61"/>
      <w:r/>
      <w:bookmarkStart w:id="57" w:name="OLE_LINK62"/>
      <w:r/>
      <w:bookmarkStart w:id="58" w:name="_Toc28359008"/>
      <w:r/>
      <w:bookmarkStart w:id="59" w:name="_Toc38985269"/>
      <w:r/>
      <w:bookmarkStart w:id="60" w:name="_Toc35393796"/>
      <w:r/>
      <w:bookmarkStart w:id="61" w:name="_Toc28359085"/>
      <w:r/>
      <w:bookmarkStart w:id="62" w:name="_Toc35393627"/>
      <w:r>
        <w:rPr>
          <w:rFonts w:hint="eastAsia"/>
          <w:color w:val="000000" w:themeColor="text1"/>
          <w:sz w:val="24"/>
          <w:szCs w:val="24"/>
          <w:highlight w:val="none"/>
          <w14:textFill>
            <w14:solidFill>
              <w14:schemeClr w14:val="tx1"/>
            </w14:solidFill>
          </w14:textFill>
        </w:rPr>
        <w:t xml:space="preserve">1.满足《中华人民共和国政府采购法》第二十二条规定，供应商须提供《南京市政府采购供应商信用承诺书》，供应商须按要求加盖供应商公章及签字。</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若供应商在投标时仅提供了《南京市政府采购供应商信用承诺书》，则供应商在成交后，需按采购文件要求，将在资格审查环节由信用承诺书替代的证明材料（本章“二、申请人的资格要求（一）”要求提供的证明材料）提交采购人或采购代理机构核验。经核验无误后，由采购人或采购代理机构发出成交通知书。</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供应商涉及以下情形的，不适用信用承诺，仍须提供上述证明材料（本章“二、申请人的资格要求（一）”要求提供的证明材料）：</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（1）供应商被列入严重失信主体名单；</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（2）被相关监管部门作出行政处罚且尚在处罚有效期内； </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（3）其他法律、行政法规规定的不适用信用承诺的情形。</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供应商对信用承诺内容的真实性、合法性、有效性负责。如作出虚假信用承诺，视同为“提供虚假材料谋取中标、成交”的违法行为。</w:t>
      </w:r>
      <w:r/>
    </w:p>
    <w:p>
      <w:pPr>
        <w:pStyle w:val="1142"/>
        <w:ind w:firstLine="480"/>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2.本次招标不收取投标保证金。</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3.本项目不组织集中勘察及答疑，供应商如对采购需求有疑问，请咨询采购单位联系人。 </w:t>
      </w:r>
      <w:r/>
    </w:p>
    <w:p>
      <w:pPr>
        <w:pStyle w:val="1142"/>
        <w:ind w:firstLine="48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"http://www.ccgp-jiangsu.gov.cn/jiangsu/zlxz/ee/ee3a4bc5a3454aa2b0d9312230633ce9.html" </w:instrText>
      </w:r>
      <w:r>
        <w:rPr>
          <w:color w:val="000000" w:themeColor="text1"/>
          <w:highlight w:val="none"/>
          <w14:textFill>
            <w14:solidFill>
              <w14:schemeClr w14:val="tx1"/>
            </w14:solidFill>
          </w14:textFill>
        </w:rPr>
        <w:fldChar w:fldCharType="separate"/>
      </w:r>
      <w:r>
        <w:rPr>
          <w:rStyle w:val="796"/>
          <w:rFonts w:hint="eastAsia"/>
          <w:color w:val="000000" w:themeColor="text1"/>
          <w:sz w:val="24"/>
          <w:szCs w:val="24"/>
          <w:highlight w:val="none"/>
          <w14:textFill>
            <w14:solidFill>
              <w14:schemeClr w14:val="tx1"/>
            </w14:solidFill>
          </w14:textFill>
        </w:rPr>
        <w:t xml:space="preserve">http://www.ccgp-</w:t>
      </w:r>
      <w:r>
        <w:rPr>
          <w:rStyle w:val="796"/>
          <w:rFonts w:hint="eastAsia"/>
          <w:color w:val="000000" w:themeColor="text1"/>
          <w:sz w:val="24"/>
          <w:szCs w:val="24"/>
          <w:highlight w:val="none"/>
          <w14:textFill>
            <w14:solidFill>
              <w14:schemeClr w14:val="tx1"/>
            </w14:solidFill>
          </w14:textFill>
        </w:rPr>
        <w:fldChar w:fldCharType="end"/>
      </w:r>
      <w:r>
        <w:rPr>
          <w:rStyle w:val="796"/>
          <w:rFonts w:hint="eastAsia"/>
          <w:color w:val="000000" w:themeColor="text1"/>
          <w:sz w:val="24"/>
          <w:szCs w:val="24"/>
          <w:highlight w:val="none"/>
          <w14:textFill>
            <w14:solidFill>
              <w14:schemeClr w14:val="tx1"/>
            </w14:solidFill>
          </w14:textFill>
        </w:rPr>
        <w:t xml:space="preserve">jiangsu.gov.cn/jiangsu/zlxz/ee/ee3a4bc5a3454aa2b0d9312230633ce9.html</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首次登录“苏采云”系统的新用户，登录网址后，点击“用户注册”--“新CA办理指南”--获取CA后绑定、登录系统--采购项目参与--下载采购文件（文件后缀名为“.kedt”）。</w:t>
      </w:r>
      <w:r/>
    </w:p>
    <w:p>
      <w:pPr>
        <w:ind w:firstLine="480"/>
        <w:spacing w:line="36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“苏采云”南京地区客服热线025-83633744、025-83633743。</w:t>
      </w:r>
      <w:r/>
    </w:p>
    <w:p>
      <w:pPr>
        <w:pStyle w:val="1142"/>
        <w:ind w:firstLine="480"/>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5.有关本次招标的事项若存在变动或修改，请及时关注“江苏政府采购网”（www.ccgp-jiangsu.gov.cn）更正公告。</w:t>
      </w:r>
      <w:bookmarkEnd w:id="54"/>
      <w:r/>
      <w:bookmarkEnd w:id="55"/>
      <w:r/>
      <w:r/>
    </w:p>
    <w:p>
      <w:pPr>
        <w:pStyle w:val="724"/>
        <w:rPr>
          <w:rFonts w:cs="Times New Roman"/>
          <w:b/>
          <w:color w:val="000000" w:themeColor="text1"/>
          <w:highlight w:val="none"/>
          <w14:textFill>
            <w14:solidFill>
              <w14:schemeClr w14:val="tx1"/>
            </w14:solidFill>
          </w14:textFill>
        </w:rPr>
      </w:pPr>
      <w:r/>
      <w:bookmarkStart w:id="63" w:name="_Toc5178"/>
      <w:r>
        <w:rPr>
          <w:rFonts w:hint="eastAsia" w:cs="Times New Roman"/>
          <w:b/>
          <w:color w:val="000000" w:themeColor="text1"/>
          <w:highlight w:val="none"/>
          <w14:textFill>
            <w14:solidFill>
              <w14:schemeClr w14:val="tx1"/>
            </w14:solidFill>
          </w14:textFill>
        </w:rPr>
        <w:t xml:space="preserve">七</w:t>
      </w:r>
      <w:bookmarkEnd w:id="56"/>
      <w:r/>
      <w:bookmarkEnd w:id="57"/>
      <w:r>
        <w:rPr>
          <w:rFonts w:hint="eastAsia" w:cs="Times New Roman"/>
          <w:b/>
          <w:color w:val="000000" w:themeColor="text1"/>
          <w:highlight w:val="none"/>
          <w14:textFill>
            <w14:solidFill>
              <w14:schemeClr w14:val="tx1"/>
            </w14:solidFill>
          </w14:textFill>
        </w:rPr>
        <w:t xml:space="preserve">、本次招标联系方式</w:t>
      </w:r>
      <w:bookmarkEnd w:id="58"/>
      <w:r/>
      <w:bookmarkEnd w:id="59"/>
      <w:r/>
      <w:bookmarkEnd w:id="60"/>
      <w:r/>
      <w:bookmarkEnd w:id="61"/>
      <w:r/>
      <w:bookmarkEnd w:id="62"/>
      <w:r/>
      <w:bookmarkEnd w:id="63"/>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1.采购人信息</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名称：南京市莫愁湖公园管理处</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地址：南京市莫愁湖西路6号</w:t>
      </w:r>
      <w:r/>
    </w:p>
    <w:p>
      <w:pPr>
        <w:ind w:firstLine="480"/>
        <w:spacing w:line="360" w:lineRule="auto"/>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联系</w:t>
      </w:r>
      <w:r>
        <w:rPr>
          <w:rFonts w:hint="eastAsia" w:ascii="宋体" w:hAnsi="宋体"/>
          <w:color w:val="000000" w:themeColor="text1"/>
          <w:sz w:val="24"/>
          <w:szCs w:val="24"/>
          <w:highlight w:val="none"/>
          <w:lang w:val="en-US" w:eastAsia="zh-CN"/>
          <w14:textFill>
            <w14:solidFill>
              <w14:schemeClr w14:val="tx1"/>
            </w14:solidFill>
          </w14:textFill>
        </w:rPr>
        <w:t xml:space="preserve">人</w:t>
      </w:r>
      <w:r>
        <w:rPr>
          <w:rFonts w:hint="eastAsia" w:ascii="宋体" w:hAnsi="宋体"/>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袁科</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2.采购代理机构信息</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名称：南京信诺工程造价咨询有限责任公司</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地址：南京市江北新区浦滨路150号中科创新广场23栋8楼</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联系方式：17205230112</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3.项目联系方式</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项目联系人：徐工</w:t>
      </w:r>
      <w:r/>
    </w:p>
    <w:p>
      <w:pPr>
        <w:ind w:firstLine="480"/>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电话：17205230112</w:t>
      </w:r>
      <w:r/>
    </w:p>
    <w:p>
      <w:pPr>
        <w:tabs>
          <w:tab w:val="left" w:pos="900"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bookmarkEnd w:id="1"/>
      <w:bookmarkEnd w:id="2"/>
      <w:bookmarkEnd w:id="3"/>
      <w:bookmarkEnd w:id="4"/>
      <w:bookmarkEnd w:id="5"/>
      <w:r/>
    </w:p>
    <w:p>
      <w:pPr>
        <w:pStyle w:val="723"/>
        <w:spacing w:after="145"/>
        <w:rPr>
          <w:color w:val="000000" w:themeColor="text1"/>
          <w:highlight w:val="none"/>
          <w14:textFill>
            <w14:solidFill>
              <w14:schemeClr w14:val="tx1"/>
            </w14:solidFill>
          </w14:textFill>
        </w:rPr>
      </w:pPr>
      <w:r/>
      <w:bookmarkStart w:id="64" w:name="_Hlt16619350"/>
      <w:r/>
      <w:bookmarkStart w:id="65" w:name="_Toc120614244"/>
      <w:r/>
      <w:bookmarkStart w:id="66" w:name="_Toc20823346"/>
      <w:r/>
      <w:bookmarkStart w:id="67" w:name="_Toc16938590"/>
      <w:r/>
      <w:bookmarkStart w:id="68" w:name="_Toc479757211"/>
      <w:r/>
      <w:bookmarkStart w:id="69" w:name="_Toc462564139"/>
      <w:r>
        <w:rPr>
          <w:bCs/>
          <w:color w:val="000000" w:themeColor="text1"/>
          <w:highlight w:val="none"/>
          <w14:textFill>
            <w14:solidFill>
              <w14:schemeClr w14:val="tx1"/>
            </w14:solidFill>
          </w14:textFill>
        </w:rPr>
        <w:br w:type="page" w:clear="all"/>
      </w:r>
      <w:bookmarkStart w:id="70" w:name="_Toc120614211"/>
      <w:r/>
      <w:bookmarkStart w:id="71" w:name="_Toc24076"/>
      <w:r>
        <w:rPr>
          <w:rFonts w:hint="eastAsia"/>
          <w:color w:val="000000" w:themeColor="text1"/>
          <w:highlight w:val="none"/>
          <w14:textFill>
            <w14:solidFill>
              <w14:schemeClr w14:val="tx1"/>
            </w14:solidFill>
          </w14:textFill>
        </w:rPr>
        <w:t xml:space="preserve">第二章  </w:t>
      </w:r>
      <w:bookmarkEnd w:id="70"/>
      <w:r/>
      <w:bookmarkStart w:id="72" w:name="_Toc20823274"/>
      <w:r/>
      <w:bookmarkStart w:id="73" w:name="_Toc16938518"/>
      <w:r/>
      <w:bookmarkStart w:id="74" w:name="_Toc513029202"/>
      <w:r/>
      <w:bookmarkStart w:id="75" w:name="_Toc120614213"/>
      <w:r>
        <w:rPr>
          <w:rFonts w:hint="eastAsia"/>
          <w:color w:val="000000" w:themeColor="text1"/>
          <w:highlight w:val="none"/>
          <w14:textFill>
            <w14:solidFill>
              <w14:schemeClr w14:val="tx1"/>
            </w14:solidFill>
          </w14:textFill>
        </w:rPr>
        <w:t xml:space="preserve">供应商须知</w:t>
      </w:r>
      <w:bookmarkEnd w:id="71"/>
      <w:r/>
      <w:bookmarkEnd w:id="72"/>
      <w:r/>
      <w:bookmarkEnd w:id="73"/>
      <w:r/>
      <w:bookmarkEnd w:id="74"/>
      <w:r/>
      <w:bookmarkEnd w:id="75"/>
      <w:r/>
      <w:r/>
    </w:p>
    <w:p>
      <w:pPr>
        <w:pStyle w:val="724"/>
        <w:rPr>
          <w:rFonts w:cs="Times New Roman"/>
          <w:b/>
          <w:color w:val="000000" w:themeColor="text1"/>
          <w:highlight w:val="none"/>
          <w14:textFill>
            <w14:solidFill>
              <w14:schemeClr w14:val="tx1"/>
            </w14:solidFill>
          </w14:textFill>
        </w:rPr>
      </w:pPr>
      <w:r/>
      <w:bookmarkStart w:id="76" w:name="_Toc11912"/>
      <w:r/>
      <w:bookmarkStart w:id="77" w:name="_Toc16938519"/>
      <w:r/>
      <w:bookmarkStart w:id="78" w:name="_Toc120614214"/>
      <w:r/>
      <w:bookmarkStart w:id="79" w:name="_Toc513029203"/>
      <w:r/>
      <w:bookmarkStart w:id="80" w:name="_Toc20823275"/>
      <w:r/>
      <w:bookmarkStart w:id="81" w:name="_Toc16938558"/>
      <w:r/>
      <w:bookmarkStart w:id="82" w:name="_Toc513029242"/>
      <w:r/>
      <w:bookmarkStart w:id="83" w:name="_Toc120614221"/>
      <w:r/>
      <w:bookmarkStart w:id="84" w:name="_Toc479757207"/>
      <w:r/>
      <w:bookmarkStart w:id="85" w:name="_Toc20823314"/>
      <w:r>
        <w:rPr>
          <w:rFonts w:hint="eastAsia" w:cs="Times New Roman"/>
          <w:b/>
          <w:color w:val="000000" w:themeColor="text1"/>
          <w:highlight w:val="none"/>
          <w14:textFill>
            <w14:solidFill>
              <w14:schemeClr w14:val="tx1"/>
            </w14:solidFill>
          </w14:textFill>
        </w:rPr>
        <w:t xml:space="preserve">一、总则</w:t>
      </w:r>
      <w:bookmarkEnd w:id="76"/>
      <w:r/>
      <w:bookmarkEnd w:id="77"/>
      <w:r/>
      <w:bookmarkEnd w:id="78"/>
      <w:r/>
      <w:bookmarkEnd w:id="79"/>
      <w:r/>
      <w:bookmarkEnd w:id="80"/>
      <w:r/>
      <w:r/>
    </w:p>
    <w:p>
      <w:pPr>
        <w:pStyle w:val="1142"/>
        <w:ind w:firstLine="480"/>
        <w:rPr>
          <w:color w:val="000000" w:themeColor="text1"/>
          <w:sz w:val="24"/>
          <w:szCs w:val="24"/>
          <w:highlight w:val="none"/>
          <w14:textFill>
            <w14:solidFill>
              <w14:schemeClr w14:val="tx1"/>
            </w14:solidFill>
          </w14:textFill>
        </w:rPr>
      </w:pPr>
      <w:r/>
      <w:bookmarkStart w:id="86" w:name="_Hlt16619475"/>
      <w:r/>
      <w:bookmarkEnd w:id="86"/>
      <w:r/>
      <w:bookmarkStart w:id="87" w:name="_Toc458694821"/>
      <w:r/>
      <w:bookmarkStart w:id="88" w:name="_Toc16938520"/>
      <w:r/>
      <w:bookmarkStart w:id="89" w:name="_Toc20823276"/>
      <w:r/>
      <w:bookmarkStart w:id="90" w:name="_Toc513029204"/>
      <w:r>
        <w:rPr>
          <w:rFonts w:hint="eastAsia"/>
          <w:color w:val="000000" w:themeColor="text1"/>
          <w:sz w:val="24"/>
          <w:szCs w:val="24"/>
          <w:highlight w:val="none"/>
          <w14:textFill>
            <w14:solidFill>
              <w14:schemeClr w14:val="tx1"/>
            </w14:solidFill>
          </w14:textFill>
        </w:rPr>
        <w:t xml:space="preserve">1</w:t>
      </w:r>
      <w:bookmarkEnd w:id="87"/>
      <w:r>
        <w:rPr>
          <w:rFonts w:hint="eastAsia"/>
          <w:color w:val="000000" w:themeColor="text1"/>
          <w:sz w:val="24"/>
          <w:szCs w:val="24"/>
          <w:highlight w:val="none"/>
          <w14:textFill>
            <w14:solidFill>
              <w14:schemeClr w14:val="tx1"/>
            </w14:solidFill>
          </w14:textFill>
        </w:rPr>
        <w:t xml:space="preserve">.招标方式</w:t>
      </w:r>
      <w:bookmarkEnd w:id="88"/>
      <w:r/>
      <w:bookmarkEnd w:id="89"/>
      <w:r/>
      <w:bookmarkEnd w:id="90"/>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 本次招标采取公开招标方式，本文件仅适用于招标公告中所述项目。</w:t>
      </w:r>
      <w:r/>
    </w:p>
    <w:p>
      <w:pPr>
        <w:pStyle w:val="1142"/>
        <w:ind w:firstLine="480"/>
        <w:rPr>
          <w:color w:val="000000" w:themeColor="text1"/>
          <w:sz w:val="24"/>
          <w:szCs w:val="24"/>
          <w:highlight w:val="none"/>
          <w14:textFill>
            <w14:solidFill>
              <w14:schemeClr w14:val="tx1"/>
            </w14:solidFill>
          </w14:textFill>
        </w:rPr>
      </w:pPr>
      <w:r/>
      <w:bookmarkStart w:id="91" w:name="_Toc20823277"/>
      <w:r/>
      <w:bookmarkStart w:id="92" w:name="_Toc16938521"/>
      <w:r/>
      <w:bookmarkStart w:id="93" w:name="_Toc513029205"/>
      <w:r>
        <w:rPr>
          <w:rFonts w:hint="eastAsia"/>
          <w:color w:val="000000" w:themeColor="text1"/>
          <w:sz w:val="24"/>
          <w:szCs w:val="24"/>
          <w:highlight w:val="none"/>
          <w14:textFill>
            <w14:solidFill>
              <w14:schemeClr w14:val="tx1"/>
            </w14:solidFill>
          </w14:textFill>
        </w:rPr>
        <w:t xml:space="preserve">2.合格的</w:t>
      </w:r>
      <w:bookmarkEnd w:id="91"/>
      <w:r/>
      <w:bookmarkEnd w:id="92"/>
      <w:r/>
      <w:bookmarkEnd w:id="93"/>
      <w:r>
        <w:rPr>
          <w:rFonts w:hint="eastAsia"/>
          <w:color w:val="000000" w:themeColor="text1"/>
          <w:sz w:val="24"/>
          <w:szCs w:val="24"/>
          <w:highlight w:val="none"/>
          <w14:textFill>
            <w14:solidFill>
              <w14:schemeClr w14:val="tx1"/>
            </w14:solidFill>
          </w14:textFill>
        </w:rPr>
        <w:t xml:space="preserve">供应商</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 满足招标公告对供应商资格要求的规定。</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 满足招标文件规定的实质性要求和条件。</w:t>
      </w:r>
      <w:r/>
    </w:p>
    <w:p>
      <w:pPr>
        <w:pStyle w:val="1142"/>
        <w:ind w:firstLine="480"/>
        <w:rPr>
          <w:color w:val="000000" w:themeColor="text1"/>
          <w:sz w:val="24"/>
          <w:szCs w:val="24"/>
          <w:highlight w:val="none"/>
          <w14:textFill>
            <w14:solidFill>
              <w14:schemeClr w14:val="tx1"/>
            </w14:solidFill>
          </w14:textFill>
        </w:rPr>
      </w:pPr>
      <w:r/>
      <w:bookmarkStart w:id="94" w:name="_Toc513029206"/>
      <w:r/>
      <w:bookmarkStart w:id="95" w:name="_Toc20823278"/>
      <w:r/>
      <w:bookmarkStart w:id="96" w:name="_Toc16938522"/>
      <w:r>
        <w:rPr>
          <w:rFonts w:hint="eastAsia"/>
          <w:color w:val="000000" w:themeColor="text1"/>
          <w:sz w:val="24"/>
          <w:szCs w:val="24"/>
          <w:highlight w:val="none"/>
          <w14:textFill>
            <w14:solidFill>
              <w14:schemeClr w14:val="tx1"/>
            </w14:solidFill>
          </w14:textFill>
        </w:rPr>
        <w:t xml:space="preserve">3.适用法律</w:t>
      </w:r>
      <w:bookmarkEnd w:id="94"/>
      <w:r/>
      <w:bookmarkEnd w:id="95"/>
      <w:r/>
      <w:bookmarkEnd w:id="96"/>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pStyle w:val="1142"/>
        <w:ind w:firstLine="480"/>
        <w:rPr>
          <w:color w:val="000000" w:themeColor="text1"/>
          <w:sz w:val="24"/>
          <w:szCs w:val="24"/>
          <w:highlight w:val="none"/>
          <w14:textFill>
            <w14:solidFill>
              <w14:schemeClr w14:val="tx1"/>
            </w14:solidFill>
          </w14:textFill>
        </w:rPr>
      </w:pPr>
      <w:r/>
      <w:bookmarkStart w:id="97" w:name="_Toc462564067"/>
      <w:r/>
      <w:bookmarkStart w:id="98" w:name="_Toc513029207"/>
      <w:r/>
      <w:bookmarkStart w:id="99" w:name="_Toc16938523"/>
      <w:r/>
      <w:bookmarkStart w:id="100" w:name="_Toc20823279"/>
      <w:r>
        <w:rPr>
          <w:rFonts w:hint="eastAsia"/>
          <w:color w:val="000000" w:themeColor="text1"/>
          <w:sz w:val="24"/>
          <w:szCs w:val="24"/>
          <w:highlight w:val="none"/>
          <w14:textFill>
            <w14:solidFill>
              <w14:schemeClr w14:val="tx1"/>
            </w14:solidFill>
          </w14:textFill>
        </w:rPr>
        <w:t xml:space="preserve">4.投标费用</w:t>
      </w:r>
      <w:bookmarkEnd w:id="97"/>
      <w:r/>
      <w:bookmarkEnd w:id="98"/>
      <w:r/>
      <w:bookmarkEnd w:id="99"/>
      <w:r/>
      <w:bookmarkEnd w:id="100"/>
      <w:r/>
      <w:r/>
    </w:p>
    <w:p>
      <w:pPr>
        <w:pStyle w:val="1142"/>
        <w:ind w:firstLine="480"/>
        <w:rPr>
          <w:b/>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4.1 供应商应自行承担所有与参加投标有关的费用，无论投标过程中的做法和结果如何，采购代理在任何情况下均无义务和责任承担这些费用。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5.招标文件的约束力</w:t>
      </w:r>
      <w:r/>
    </w:p>
    <w:p>
      <w:pPr>
        <w:pStyle w:val="1142"/>
        <w:ind w:firstLine="480"/>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5.1 供应商一旦参加本项目采购活动，即被认为接受了本文件的规定和约束。</w:t>
      </w:r>
      <w:r/>
    </w:p>
    <w:p>
      <w:pPr>
        <w:pStyle w:val="724"/>
        <w:rPr>
          <w:rFonts w:cs="Times New Roman"/>
          <w:b/>
          <w:color w:val="000000" w:themeColor="text1"/>
          <w:highlight w:val="none"/>
          <w14:textFill>
            <w14:solidFill>
              <w14:schemeClr w14:val="tx1"/>
            </w14:solidFill>
          </w14:textFill>
        </w:rPr>
      </w:pPr>
      <w:r/>
      <w:bookmarkStart w:id="101" w:name="_Toc513029209"/>
      <w:r/>
      <w:bookmarkStart w:id="102" w:name="_Toc20823281"/>
      <w:r/>
      <w:bookmarkStart w:id="103" w:name="_Toc16938525"/>
      <w:r/>
      <w:bookmarkStart w:id="104" w:name="_Toc30248"/>
      <w:r/>
      <w:bookmarkStart w:id="105" w:name="_Toc120614215"/>
      <w:r>
        <w:rPr>
          <w:rFonts w:hint="eastAsia" w:cs="Times New Roman"/>
          <w:b/>
          <w:color w:val="000000" w:themeColor="text1"/>
          <w:highlight w:val="none"/>
          <w14:textFill>
            <w14:solidFill>
              <w14:schemeClr w14:val="tx1"/>
            </w14:solidFill>
          </w14:textFill>
        </w:rPr>
        <w:t xml:space="preserve">二、招标文件</w:t>
      </w:r>
      <w:bookmarkEnd w:id="101"/>
      <w:r/>
      <w:bookmarkEnd w:id="102"/>
      <w:r/>
      <w:bookmarkEnd w:id="103"/>
      <w:r/>
      <w:bookmarkEnd w:id="104"/>
      <w:r/>
      <w:bookmarkEnd w:id="105"/>
      <w:r/>
      <w:r/>
    </w:p>
    <w:p>
      <w:pPr>
        <w:pStyle w:val="1142"/>
        <w:ind w:firstLine="480"/>
        <w:rPr>
          <w:color w:val="000000" w:themeColor="text1"/>
          <w:sz w:val="24"/>
          <w:szCs w:val="24"/>
          <w:highlight w:val="none"/>
          <w14:textFill>
            <w14:solidFill>
              <w14:schemeClr w14:val="tx1"/>
            </w14:solidFill>
          </w14:textFill>
        </w:rPr>
      </w:pPr>
      <w:r/>
      <w:bookmarkStart w:id="106" w:name="_Toc20823282"/>
      <w:r/>
      <w:bookmarkStart w:id="107" w:name="_Toc513029210"/>
      <w:r/>
      <w:bookmarkStart w:id="108" w:name="_Toc16938526"/>
      <w:r>
        <w:rPr>
          <w:rFonts w:hint="eastAsia"/>
          <w:color w:val="000000" w:themeColor="text1"/>
          <w:sz w:val="24"/>
          <w:szCs w:val="24"/>
          <w:highlight w:val="none"/>
          <w14:textFill>
            <w14:solidFill>
              <w14:schemeClr w14:val="tx1"/>
            </w14:solidFill>
          </w14:textFill>
        </w:rPr>
        <w:t xml:space="preserve">6.招标文件构成</w:t>
      </w:r>
      <w:bookmarkEnd w:id="106"/>
      <w:r/>
      <w:bookmarkEnd w:id="107"/>
      <w:r/>
      <w:bookmarkEnd w:id="108"/>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6.1 招标文件由以下部分组成：</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（1）投标邀请</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（2）供应商须知</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（3）合同文本</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（4）采购需求</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（5）评标方法与评标标准</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（6）投标文件格式</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供应商应仔细检查招标文件是否齐全，如有缺漏请立即与采购代理联系。</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1142"/>
        <w:ind w:firstLine="480"/>
        <w:rPr>
          <w:color w:val="000000" w:themeColor="text1"/>
          <w:sz w:val="24"/>
          <w:szCs w:val="24"/>
          <w:highlight w:val="none"/>
          <w14:textFill>
            <w14:solidFill>
              <w14:schemeClr w14:val="tx1"/>
            </w14:solidFill>
          </w14:textFill>
        </w:rPr>
      </w:pPr>
      <w:r/>
      <w:bookmarkStart w:id="109" w:name="_Toc16938527"/>
      <w:r/>
      <w:bookmarkStart w:id="110" w:name="_Toc462564070"/>
      <w:r/>
      <w:bookmarkStart w:id="111" w:name="_Toc513029211"/>
      <w:r/>
      <w:bookmarkStart w:id="112" w:name="_Toc20823283"/>
      <w:r>
        <w:rPr>
          <w:rFonts w:hint="eastAsia"/>
          <w:color w:val="000000" w:themeColor="text1"/>
          <w:sz w:val="24"/>
          <w:szCs w:val="24"/>
          <w:highlight w:val="none"/>
          <w14:textFill>
            <w14:solidFill>
              <w14:schemeClr w14:val="tx1"/>
            </w14:solidFill>
          </w14:textFill>
        </w:rPr>
        <w:t xml:space="preserve">7.招标文件的澄清</w:t>
      </w:r>
      <w:bookmarkEnd w:id="109"/>
      <w:r/>
      <w:bookmarkEnd w:id="110"/>
      <w:r/>
      <w:bookmarkEnd w:id="111"/>
      <w:r/>
      <w:bookmarkEnd w:id="112"/>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7.1 任何要求对招标文件进行澄清的供应商，应在投标截止期十日前按招标公告中的通讯地址，以书面形式通知采购代理。</w:t>
      </w:r>
      <w:r/>
    </w:p>
    <w:p>
      <w:pPr>
        <w:pStyle w:val="1142"/>
        <w:ind w:firstLine="480"/>
        <w:rPr>
          <w:color w:val="000000" w:themeColor="text1"/>
          <w:sz w:val="24"/>
          <w:szCs w:val="24"/>
          <w:highlight w:val="none"/>
          <w14:textFill>
            <w14:solidFill>
              <w14:schemeClr w14:val="tx1"/>
            </w14:solidFill>
          </w14:textFill>
        </w:rPr>
      </w:pPr>
      <w:r/>
      <w:bookmarkStart w:id="113" w:name="_Toc462564071"/>
      <w:r/>
      <w:bookmarkStart w:id="114" w:name="_Toc20823284"/>
      <w:r/>
      <w:bookmarkStart w:id="115" w:name="_Toc16938528"/>
      <w:r/>
      <w:bookmarkStart w:id="116" w:name="_Toc513029212"/>
      <w:r>
        <w:rPr>
          <w:rFonts w:hint="eastAsia"/>
          <w:color w:val="000000" w:themeColor="text1"/>
          <w:sz w:val="24"/>
          <w:szCs w:val="24"/>
          <w:highlight w:val="none"/>
          <w14:textFill>
            <w14:solidFill>
              <w14:schemeClr w14:val="tx1"/>
            </w14:solidFill>
          </w14:textFill>
        </w:rPr>
        <w:t xml:space="preserve">8.招标文件的修改</w:t>
      </w:r>
      <w:bookmarkEnd w:id="113"/>
      <w:r/>
      <w:bookmarkEnd w:id="114"/>
      <w:r/>
      <w:bookmarkEnd w:id="115"/>
      <w:r/>
      <w:bookmarkEnd w:id="116"/>
      <w:r/>
      <w:r/>
    </w:p>
    <w:p>
      <w:pPr>
        <w:pStyle w:val="1142"/>
        <w:ind w:firstLine="480"/>
        <w:rPr>
          <w:color w:val="000000" w:themeColor="text1"/>
          <w:sz w:val="24"/>
          <w:szCs w:val="24"/>
          <w:highlight w:val="none"/>
          <w14:textFill>
            <w14:solidFill>
              <w14:schemeClr w14:val="tx1"/>
            </w14:solidFill>
          </w14:textFill>
        </w:rPr>
      </w:pPr>
      <w:r/>
      <w:bookmarkStart w:id="117" w:name="_Toc513029213"/>
      <w:r/>
      <w:bookmarkStart w:id="118" w:name="_Toc120614216"/>
      <w:r/>
      <w:bookmarkStart w:id="119" w:name="_Toc16938529"/>
      <w:r/>
      <w:bookmarkStart w:id="120" w:name="_Toc20823285"/>
      <w:r/>
      <w:bookmarkStart w:id="121" w:name="_Toc462564072"/>
      <w:r>
        <w:rPr>
          <w:rFonts w:hint="eastAsia"/>
          <w:color w:val="000000" w:themeColor="text1"/>
          <w:sz w:val="24"/>
          <w:szCs w:val="24"/>
          <w:highlight w:val="none"/>
          <w14:textFill>
            <w14:solidFill>
              <w14:schemeClr w14:val="tx1"/>
            </w14:solidFill>
          </w14:textFill>
        </w:rPr>
        <w:t xml:space="preserve">8.1 在投标截止时间前，采购代理可以对招标文件进行修改。招标文件的修改将在原公告媒体发布更正公告，更正内容将作为招标文件的组成部分，并对供应商具有约束力。</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8.2 供应商应在提交投标文件截止时间前，关注原公告媒体有关本项目的更正公告，根据更正公告内容自行决定是否需要重新制作和提交投标文件，并承担由此产生的相应责任。</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8.3 采购代理有权按照法定的要求推迟投标截止日期和开标日期，并在原公告媒体发布更正公告。</w:t>
      </w:r>
      <w:r/>
    </w:p>
    <w:p>
      <w:pPr>
        <w:pStyle w:val="724"/>
        <w:rPr>
          <w:rFonts w:cs="Times New Roman"/>
          <w:b/>
          <w:color w:val="000000" w:themeColor="text1"/>
          <w:highlight w:val="none"/>
          <w14:textFill>
            <w14:solidFill>
              <w14:schemeClr w14:val="tx1"/>
            </w14:solidFill>
          </w14:textFill>
        </w:rPr>
      </w:pPr>
      <w:r/>
      <w:bookmarkStart w:id="122" w:name="_Toc27454"/>
      <w:r>
        <w:rPr>
          <w:rFonts w:hint="eastAsia" w:cs="Times New Roman"/>
          <w:b/>
          <w:color w:val="000000" w:themeColor="text1"/>
          <w:highlight w:val="none"/>
          <w14:textFill>
            <w14:solidFill>
              <w14:schemeClr w14:val="tx1"/>
            </w14:solidFill>
          </w14:textFill>
        </w:rPr>
        <w:t xml:space="preserve">三、投标文件的编制</w:t>
      </w:r>
      <w:bookmarkEnd w:id="117"/>
      <w:r/>
      <w:bookmarkEnd w:id="118"/>
      <w:r/>
      <w:bookmarkEnd w:id="119"/>
      <w:r/>
      <w:bookmarkEnd w:id="120"/>
      <w:r/>
      <w:bookmarkEnd w:id="121"/>
      <w:r/>
      <w:bookmarkEnd w:id="122"/>
      <w:r/>
      <w:r/>
    </w:p>
    <w:p>
      <w:pPr>
        <w:pStyle w:val="1142"/>
        <w:ind w:firstLine="480"/>
        <w:rPr>
          <w:color w:val="000000" w:themeColor="text1"/>
          <w:sz w:val="24"/>
          <w:szCs w:val="24"/>
          <w:highlight w:val="none"/>
          <w14:textFill>
            <w14:solidFill>
              <w14:schemeClr w14:val="tx1"/>
            </w14:solidFill>
          </w14:textFill>
        </w:rPr>
      </w:pPr>
      <w:r/>
      <w:bookmarkStart w:id="123" w:name="_Toc20823286"/>
      <w:r/>
      <w:bookmarkStart w:id="124" w:name="_Toc462564073"/>
      <w:r/>
      <w:bookmarkStart w:id="125" w:name="_Toc16938530"/>
      <w:r/>
      <w:bookmarkStart w:id="126" w:name="_Toc513029214"/>
      <w:r>
        <w:rPr>
          <w:rFonts w:hint="eastAsia"/>
          <w:color w:val="000000" w:themeColor="text1"/>
          <w:sz w:val="24"/>
          <w:szCs w:val="24"/>
          <w:highlight w:val="none"/>
          <w14:textFill>
            <w14:solidFill>
              <w14:schemeClr w14:val="tx1"/>
            </w14:solidFill>
          </w14:textFill>
        </w:rPr>
        <w:t xml:space="preserve">9.投标文件的语言及度量衡单位</w:t>
      </w:r>
      <w:bookmarkEnd w:id="123"/>
      <w:r/>
      <w:bookmarkEnd w:id="124"/>
      <w:r/>
      <w:bookmarkEnd w:id="125"/>
      <w:r/>
      <w:bookmarkEnd w:id="126"/>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9.1 供应商提交的投标文件以及供应商与采购代理就有关投标的所有来往通知、函件和文件均应使用简体中文。</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9.2 除技术性能另有规定外，投标文件所使用的度量衡单位，均须采用国家法定计量单位。</w:t>
      </w:r>
      <w:r/>
    </w:p>
    <w:p>
      <w:pPr>
        <w:pStyle w:val="1142"/>
        <w:ind w:firstLine="480"/>
        <w:rPr>
          <w:color w:val="000000" w:themeColor="text1"/>
          <w:sz w:val="24"/>
          <w:szCs w:val="24"/>
          <w:highlight w:val="none"/>
          <w14:textFill>
            <w14:solidFill>
              <w14:schemeClr w14:val="tx1"/>
            </w14:solidFill>
          </w14:textFill>
        </w:rPr>
      </w:pPr>
      <w:r/>
      <w:bookmarkStart w:id="127" w:name="_Toc16938531"/>
      <w:r/>
      <w:bookmarkStart w:id="128" w:name="_Toc20823287"/>
      <w:r/>
      <w:bookmarkStart w:id="129" w:name="_Toc513029215"/>
      <w:r/>
      <w:bookmarkStart w:id="130" w:name="_Toc462564074"/>
      <w:r>
        <w:rPr>
          <w:rFonts w:hint="eastAsia"/>
          <w:color w:val="000000" w:themeColor="text1"/>
          <w:sz w:val="24"/>
          <w:szCs w:val="24"/>
          <w:highlight w:val="none"/>
          <w14:textFill>
            <w14:solidFill>
              <w14:schemeClr w14:val="tx1"/>
            </w14:solidFill>
          </w14:textFill>
        </w:rPr>
        <w:t xml:space="preserve">10.投标文件构成</w:t>
      </w:r>
      <w:bookmarkEnd w:id="127"/>
      <w:r/>
      <w:bookmarkEnd w:id="128"/>
      <w:r/>
      <w:bookmarkEnd w:id="129"/>
      <w:r/>
      <w:bookmarkEnd w:id="130"/>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10.1 供应商编写的投标文件应包括资格证明文件、符合性证明文件、投标分项报价表、响应及偏离表、其他证明文件、投标函、开标一览表等部分。</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pStyle w:val="1142"/>
        <w:ind w:firstLine="480"/>
        <w:rPr>
          <w:color w:val="000000" w:themeColor="text1"/>
          <w:sz w:val="24"/>
          <w:szCs w:val="24"/>
          <w:highlight w:val="none"/>
          <w14:textFill>
            <w14:solidFill>
              <w14:schemeClr w14:val="tx1"/>
            </w14:solidFill>
          </w14:textFill>
        </w:rPr>
      </w:pPr>
      <w:r/>
      <w:bookmarkStart w:id="131" w:name="_Hlt26954838"/>
      <w:r/>
      <w:bookmarkEnd w:id="131"/>
      <w:r/>
      <w:bookmarkStart w:id="132" w:name="_Hlt26670360"/>
      <w:r/>
      <w:bookmarkEnd w:id="132"/>
      <w:r/>
      <w:bookmarkStart w:id="133" w:name="_Hlt26668975"/>
      <w:r/>
      <w:bookmarkEnd w:id="133"/>
      <w:r/>
      <w:bookmarkStart w:id="134" w:name="_Toc513029219"/>
      <w:r/>
      <w:bookmarkStart w:id="135" w:name="_Toc49090509"/>
      <w:r/>
      <w:bookmarkStart w:id="136" w:name="_Toc14577357"/>
      <w:r/>
      <w:bookmarkStart w:id="137" w:name="_Toc49090507"/>
      <w:r/>
      <w:bookmarkStart w:id="138" w:name="_Toc14577354"/>
      <w:r/>
      <w:bookmarkStart w:id="139" w:name="_Toc513029216"/>
      <w:r>
        <w:rPr>
          <w:rFonts w:hint="eastAsia"/>
          <w:color w:val="000000" w:themeColor="text1"/>
          <w:sz w:val="24"/>
          <w:szCs w:val="24"/>
          <w:highlight w:val="none"/>
          <w14:textFill>
            <w14:solidFill>
              <w14:schemeClr w14:val="tx1"/>
            </w14:solidFill>
          </w14:textFill>
        </w:rPr>
        <w:t xml:space="preserve">11.证明供应商及投标标的符合招标文件规定的文件</w:t>
      </w:r>
      <w:bookmarkEnd w:id="134"/>
      <w:r/>
      <w:bookmarkEnd w:id="135"/>
      <w:r/>
      <w:bookmarkEnd w:id="136"/>
      <w:r/>
      <w:bookmarkEnd w:id="137"/>
      <w:bookmarkEnd w:id="138"/>
      <w:bookmarkEnd w:id="139"/>
      <w:r/>
    </w:p>
    <w:p>
      <w:pPr>
        <w:pStyle w:val="1142"/>
        <w:ind w:firstLine="480"/>
        <w:rPr>
          <w:color w:val="000000" w:themeColor="text1"/>
          <w:sz w:val="24"/>
          <w:szCs w:val="24"/>
          <w:highlight w:val="none"/>
          <w14:textFill>
            <w14:solidFill>
              <w14:schemeClr w14:val="tx1"/>
            </w14:solidFill>
          </w14:textFill>
        </w:rPr>
      </w:pPr>
      <w:r/>
      <w:bookmarkStart w:id="140" w:name="_Toc49090508"/>
      <w:r/>
      <w:bookmarkStart w:id="141" w:name="_Toc14577355"/>
      <w:r>
        <w:rPr>
          <w:rFonts w:hint="eastAsia"/>
          <w:color w:val="000000" w:themeColor="text1"/>
          <w:sz w:val="24"/>
          <w:szCs w:val="24"/>
          <w:highlight w:val="none"/>
          <w14:textFill>
            <w14:solidFill>
              <w14:schemeClr w14:val="tx1"/>
            </w14:solidFill>
          </w14:textFill>
        </w:rPr>
        <w:t xml:space="preserve">11.1 供应商应按照法律、法规、规章和规范性文件以及招标文件要求提交证明文件，证明其投标标的符合招标文件规定。</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11.2 招标文件对证明文件无明确形式要求的，证明文件可以以文字资料、图纸和数据等形式提交。</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w:t>
      </w:r>
      <w:bookmarkEnd w:id="140"/>
      <w:r/>
      <w:bookmarkEnd w:id="141"/>
      <w:r>
        <w:rPr>
          <w:rFonts w:hint="eastAsia"/>
          <w:color w:val="000000" w:themeColor="text1"/>
          <w:sz w:val="24"/>
          <w:szCs w:val="24"/>
          <w:highlight w:val="none"/>
          <w14:textFill>
            <w14:solidFill>
              <w14:schemeClr w14:val="tx1"/>
            </w14:solidFill>
          </w14:textFill>
        </w:rPr>
        <w:t xml:space="preserve">.投标分项报价表（如有）</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12.1 供应商应按照招标文件规定格式填报</w:t>
      </w:r>
      <w:bookmarkStart w:id="142" w:name="_Hlt26670399"/>
      <w:r/>
      <w:bookmarkEnd w:id="142"/>
      <w:r>
        <w:rPr>
          <w:rFonts w:hint="eastAsia"/>
          <w:color w:val="000000" w:themeColor="text1"/>
          <w:sz w:val="24"/>
          <w:szCs w:val="24"/>
          <w:highlight w:val="none"/>
          <w14:textFill>
            <w14:solidFill>
              <w14:schemeClr w14:val="tx1"/>
            </w14:solidFill>
          </w14:textFill>
        </w:rPr>
        <w:t xml:space="preserve">投标分项报价表。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12.2 投标文件中的单价和总价无特殊规定的采用人民币报价，以元为单位标注。招标文件另有规定的按规定执行。</w:t>
      </w:r>
      <w:r/>
    </w:p>
    <w:p>
      <w:pPr>
        <w:pStyle w:val="1142"/>
        <w:ind w:firstLine="480"/>
        <w:rPr>
          <w:color w:val="000000" w:themeColor="text1"/>
          <w:sz w:val="24"/>
          <w:szCs w:val="24"/>
          <w:highlight w:val="none"/>
          <w14:textFill>
            <w14:solidFill>
              <w14:schemeClr w14:val="tx1"/>
            </w14:solidFill>
          </w14:textFill>
        </w:rPr>
      </w:pPr>
      <w:r/>
      <w:bookmarkStart w:id="143" w:name="_Hlt26668983"/>
      <w:r/>
      <w:bookmarkEnd w:id="143"/>
      <w:r/>
      <w:bookmarkStart w:id="144" w:name="_Hlt26954842"/>
      <w:r/>
      <w:bookmarkEnd w:id="144"/>
      <w:r/>
      <w:bookmarkStart w:id="145" w:name="_Hlt26670425"/>
      <w:r/>
      <w:bookmarkEnd w:id="145"/>
      <w:r/>
      <w:bookmarkStart w:id="146" w:name="_Hlt26954844"/>
      <w:r/>
      <w:bookmarkEnd w:id="146"/>
      <w:r/>
      <w:bookmarkStart w:id="147" w:name="_Hlt26954731"/>
      <w:r/>
      <w:bookmarkEnd w:id="147"/>
      <w:r/>
      <w:bookmarkStart w:id="148" w:name="_Hlt26954846"/>
      <w:r/>
      <w:bookmarkEnd w:id="148"/>
      <w:r/>
      <w:bookmarkStart w:id="149" w:name="_Hlt26670403"/>
      <w:r/>
      <w:bookmarkEnd w:id="149"/>
      <w:r/>
      <w:bookmarkStart w:id="150" w:name="_Hlt26954848"/>
      <w:r/>
      <w:bookmarkEnd w:id="150"/>
      <w:r/>
      <w:bookmarkStart w:id="151" w:name="_Hlt26670486"/>
      <w:r/>
      <w:bookmarkEnd w:id="151"/>
      <w:r/>
      <w:bookmarkStart w:id="152" w:name="_Hlt26670482"/>
      <w:r/>
      <w:bookmarkEnd w:id="152"/>
      <w:r>
        <w:rPr>
          <w:rFonts w:hint="eastAsia"/>
          <w:color w:val="000000" w:themeColor="text1"/>
          <w:sz w:val="24"/>
          <w:szCs w:val="24"/>
          <w:highlight w:val="none"/>
          <w14:textFill>
            <w14:solidFill>
              <w14:schemeClr w14:val="tx1"/>
            </w14:solidFill>
          </w14:textFill>
        </w:rPr>
        <w:t xml:space="preserve">13.响应及偏离表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13.1 供应商需对招标文件中的技术要求与商务要求逐项作出响应或偏离说明。</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13.2 供应商可以在投标文件中提供认为需要的其他技术文件或说明。</w:t>
      </w:r>
      <w:r/>
    </w:p>
    <w:p>
      <w:pPr>
        <w:pStyle w:val="1142"/>
        <w:ind w:firstLine="480"/>
        <w:rPr>
          <w:color w:val="000000" w:themeColor="text1"/>
          <w:sz w:val="24"/>
          <w:szCs w:val="24"/>
          <w:highlight w:val="none"/>
          <w14:textFill>
            <w14:solidFill>
              <w14:schemeClr w14:val="tx1"/>
            </w14:solidFill>
          </w14:textFill>
        </w:rPr>
      </w:pPr>
      <w:r/>
      <w:bookmarkStart w:id="153" w:name="_Toc49090510"/>
      <w:r/>
      <w:bookmarkStart w:id="154" w:name="_Toc14577359"/>
      <w:r>
        <w:rPr>
          <w:rFonts w:hint="eastAsia"/>
          <w:color w:val="000000" w:themeColor="text1"/>
          <w:sz w:val="24"/>
          <w:szCs w:val="24"/>
          <w:highlight w:val="none"/>
          <w14:textFill>
            <w14:solidFill>
              <w14:schemeClr w14:val="tx1"/>
            </w14:solidFill>
          </w14:textFill>
        </w:rPr>
        <w:t xml:space="preserve">14.投标函和开标一览表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14.1 供应商应按照招标文件规定格式完整、正确填报投标函、开标一览表。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14.2 对于采用货币报价的项目，开标一览表中的投标总报价应与投标分项报价表中的投标总报价一致，如不一致评标时以开标一览表中价格为准。</w:t>
      </w:r>
      <w:bookmarkEnd w:id="153"/>
      <w:bookmarkEnd w:id="154"/>
      <w:r/>
    </w:p>
    <w:p>
      <w:pPr>
        <w:pStyle w:val="1142"/>
        <w:ind w:firstLine="480"/>
        <w:rPr>
          <w:color w:val="000000" w:themeColor="text1"/>
          <w:sz w:val="24"/>
          <w:szCs w:val="24"/>
          <w:highlight w:val="none"/>
          <w14:textFill>
            <w14:solidFill>
              <w14:schemeClr w14:val="tx1"/>
            </w14:solidFill>
          </w14:textFill>
        </w:rPr>
      </w:pPr>
      <w:r/>
      <w:bookmarkStart w:id="155" w:name="_Hlt26954850"/>
      <w:r/>
      <w:bookmarkEnd w:id="155"/>
      <w:r/>
      <w:bookmarkStart w:id="156" w:name="_Hlt26670489"/>
      <w:r/>
      <w:bookmarkEnd w:id="156"/>
      <w:r/>
      <w:bookmarkStart w:id="157" w:name="_Hlt26954734"/>
      <w:r/>
      <w:bookmarkEnd w:id="157"/>
      <w:r/>
      <w:bookmarkStart w:id="158" w:name="_Toc49090511"/>
      <w:r/>
      <w:bookmarkStart w:id="159" w:name="_Toc14577360"/>
      <w:r>
        <w:rPr>
          <w:rFonts w:hint="eastAsia"/>
          <w:color w:val="000000" w:themeColor="text1"/>
          <w:sz w:val="24"/>
          <w:szCs w:val="24"/>
          <w:highlight w:val="none"/>
          <w14:textFill>
            <w14:solidFill>
              <w14:schemeClr w14:val="tx1"/>
            </w14:solidFill>
          </w14:textFill>
        </w:rPr>
        <w:t xml:space="preserve">15.投标有效期</w:t>
      </w:r>
      <w:bookmarkEnd w:id="158"/>
      <w:r/>
      <w:bookmarkEnd w:id="159"/>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15.1 </w:t>
      </w:r>
      <w:r>
        <w:rPr>
          <w:rFonts w:hint="eastAsia"/>
          <w:b/>
          <w:iCs/>
          <w:color w:val="000000" w:themeColor="text1"/>
          <w:sz w:val="24"/>
          <w:szCs w:val="24"/>
          <w:highlight w:val="none"/>
          <w14:textFill>
            <w14:solidFill>
              <w14:schemeClr w14:val="tx1"/>
            </w14:solidFill>
          </w14:textFill>
        </w:rPr>
        <w:t xml:space="preserve">投标有效期为招标公告规定的开标之日起六十天</w:t>
      </w:r>
      <w:r>
        <w:rPr>
          <w:rFonts w:hint="eastAsia"/>
          <w:iCs/>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投标有效期比规定短的将被视为未实质性响应招标文件而被拒绝。</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16.投标有效期的延长</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16.1 在特殊情况下，采购代理于原投标有效期满之前，可向供应商提出延长投标有效期的要求。这种要求与答复均应采用书面形式。供应商可以拒绝采购代理的这一要求而放弃投标。同意延长投标有效期的供应商既不能要求也不允许修改其投标文件，同时受投标有效期约束的所有权利与义务均延长至新的有效期满。</w:t>
      </w:r>
      <w:r/>
    </w:p>
    <w:p>
      <w:pPr>
        <w:pStyle w:val="724"/>
        <w:rPr>
          <w:rFonts w:cs="Times New Roman"/>
          <w:b/>
          <w:color w:val="000000" w:themeColor="text1"/>
          <w:highlight w:val="none"/>
          <w14:textFill>
            <w14:solidFill>
              <w14:schemeClr w14:val="tx1"/>
            </w14:solidFill>
          </w14:textFill>
        </w:rPr>
      </w:pPr>
      <w:r/>
      <w:bookmarkStart w:id="160" w:name="_Hlt26954852"/>
      <w:r/>
      <w:bookmarkEnd w:id="160"/>
      <w:r/>
      <w:bookmarkStart w:id="161" w:name="_Hlt26954739"/>
      <w:r/>
      <w:bookmarkEnd w:id="161"/>
      <w:r/>
      <w:bookmarkStart w:id="162" w:name="_Toc120614217"/>
      <w:r/>
      <w:bookmarkStart w:id="163" w:name="_Toc513029224"/>
      <w:r/>
      <w:bookmarkStart w:id="164" w:name="_Toc656"/>
      <w:r/>
      <w:bookmarkStart w:id="165" w:name="_Toc20823296"/>
      <w:r/>
      <w:bookmarkStart w:id="166" w:name="_Toc16938540"/>
      <w:r/>
      <w:bookmarkStart w:id="167" w:name="_Toc16938553"/>
      <w:r/>
      <w:bookmarkStart w:id="168" w:name="_Toc20823309"/>
      <w:r/>
      <w:bookmarkStart w:id="169" w:name="_Toc513029237"/>
      <w:r>
        <w:rPr>
          <w:rFonts w:hint="eastAsia" w:cs="Times New Roman"/>
          <w:b/>
          <w:color w:val="000000" w:themeColor="text1"/>
          <w:highlight w:val="none"/>
          <w14:textFill>
            <w14:solidFill>
              <w14:schemeClr w14:val="tx1"/>
            </w14:solidFill>
          </w14:textFill>
        </w:rPr>
        <w:t xml:space="preserve">四、投标文件的递交</w:t>
      </w:r>
      <w:bookmarkEnd w:id="162"/>
      <w:r/>
      <w:bookmarkEnd w:id="163"/>
      <w:r/>
      <w:bookmarkEnd w:id="164"/>
      <w:r/>
      <w:bookmarkEnd w:id="165"/>
      <w:r/>
      <w:bookmarkEnd w:id="166"/>
      <w:r/>
      <w:r/>
    </w:p>
    <w:p>
      <w:pPr>
        <w:pStyle w:val="1142"/>
        <w:ind w:firstLine="480"/>
        <w:rPr>
          <w:color w:val="000000" w:themeColor="text1"/>
          <w:sz w:val="24"/>
          <w:szCs w:val="24"/>
          <w:highlight w:val="none"/>
          <w14:textFill>
            <w14:solidFill>
              <w14:schemeClr w14:val="tx1"/>
            </w14:solidFill>
          </w14:textFill>
        </w:rPr>
      </w:pPr>
      <w:r/>
      <w:bookmarkStart w:id="170" w:name="_Toc462564084"/>
      <w:r/>
      <w:bookmarkStart w:id="171" w:name="_Toc513029225"/>
      <w:r/>
      <w:bookmarkStart w:id="172" w:name="_Toc16938541"/>
      <w:r/>
      <w:bookmarkStart w:id="173" w:name="_Toc20823297"/>
      <w:r>
        <w:rPr>
          <w:rFonts w:hint="eastAsia"/>
          <w:color w:val="000000" w:themeColor="text1"/>
          <w:sz w:val="24"/>
          <w:szCs w:val="24"/>
          <w:highlight w:val="none"/>
          <w14:textFill>
            <w14:solidFill>
              <w14:schemeClr w14:val="tx1"/>
            </w14:solidFill>
          </w14:textFill>
        </w:rPr>
        <w:t xml:space="preserve">17.投标文件</w:t>
      </w:r>
      <w:bookmarkEnd w:id="170"/>
      <w:r/>
      <w:bookmarkEnd w:id="171"/>
      <w:r/>
      <w:bookmarkEnd w:id="172"/>
      <w:r/>
      <w:bookmarkEnd w:id="173"/>
      <w:r>
        <w:rPr>
          <w:rFonts w:hint="eastAsia"/>
          <w:color w:val="000000" w:themeColor="text1"/>
          <w:sz w:val="24"/>
          <w:szCs w:val="24"/>
          <w:highlight w:val="none"/>
          <w14:textFill>
            <w14:solidFill>
              <w14:schemeClr w14:val="tx1"/>
            </w14:solidFill>
          </w14:textFill>
        </w:rPr>
        <w:t xml:space="preserve">的递交</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17.1 供应商应当按照《操作手册》规定，在招标公告规定的投标截止时间前制作并上传电子投标文件。</w:t>
      </w:r>
      <w:bookmarkStart w:id="174" w:name="_Toc513029226"/>
      <w:r/>
      <w:bookmarkEnd w:id="174"/>
      <w:r/>
      <w:bookmarkStart w:id="175" w:name="_Toc20823298"/>
      <w:r/>
      <w:bookmarkEnd w:id="175"/>
      <w:r/>
      <w:bookmarkStart w:id="176" w:name="_Toc16938542"/>
      <w:r/>
      <w:bookmarkEnd w:id="176"/>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17.2 供应商应充分考虑网络环境、网络带宽等因素可能对投标产生的影响，如因供应商自身原因造成的电子投标文件上传不成功的，按照本招标文件第二章第25.1条规定做无效投标处理。</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17.3 采购代理可以按照规定，通过修改招标文件酌情延长投标截止时间，在此情况下，供应商的所有权利和义务均以延长后新的截止时间为准。</w:t>
      </w:r>
      <w:r/>
    </w:p>
    <w:p>
      <w:pPr>
        <w:pStyle w:val="1142"/>
        <w:ind w:firstLine="480"/>
        <w:rPr>
          <w:color w:val="000000" w:themeColor="text1"/>
          <w:sz w:val="24"/>
          <w:szCs w:val="24"/>
          <w:highlight w:val="none"/>
          <w14:textFill>
            <w14:solidFill>
              <w14:schemeClr w14:val="tx1"/>
            </w14:solidFill>
          </w14:textFill>
        </w:rPr>
      </w:pPr>
      <w:r/>
      <w:bookmarkStart w:id="177" w:name="_Toc20823299"/>
      <w:r/>
      <w:bookmarkStart w:id="178" w:name="_Toc16938543"/>
      <w:r/>
      <w:bookmarkStart w:id="179" w:name="_Toc513029227"/>
      <w:r>
        <w:rPr>
          <w:rFonts w:hint="eastAsia"/>
          <w:color w:val="000000" w:themeColor="text1"/>
          <w:sz w:val="24"/>
          <w:szCs w:val="24"/>
          <w:highlight w:val="none"/>
          <w14:textFill>
            <w14:solidFill>
              <w14:schemeClr w14:val="tx1"/>
            </w14:solidFill>
          </w14:textFill>
        </w:rPr>
        <w:t xml:space="preserve">18.投标文件</w:t>
      </w:r>
      <w:bookmarkEnd w:id="177"/>
      <w:r/>
      <w:bookmarkEnd w:id="178"/>
      <w:r/>
      <w:bookmarkEnd w:id="179"/>
      <w:r>
        <w:rPr>
          <w:rFonts w:hint="eastAsia"/>
          <w:color w:val="000000" w:themeColor="text1"/>
          <w:sz w:val="24"/>
          <w:szCs w:val="24"/>
          <w:highlight w:val="none"/>
          <w14:textFill>
            <w14:solidFill>
              <w14:schemeClr w14:val="tx1"/>
            </w14:solidFill>
          </w14:textFill>
        </w:rPr>
        <w:t xml:space="preserve">的拒收</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18.1 投标截止时间后上传的任何投标文件将被拒绝。</w:t>
      </w:r>
      <w:r/>
    </w:p>
    <w:p>
      <w:pPr>
        <w:pStyle w:val="1142"/>
        <w:ind w:firstLine="480"/>
        <w:rPr>
          <w:color w:val="000000" w:themeColor="text1"/>
          <w:sz w:val="24"/>
          <w:szCs w:val="24"/>
          <w:highlight w:val="none"/>
          <w14:textFill>
            <w14:solidFill>
              <w14:schemeClr w14:val="tx1"/>
            </w14:solidFill>
          </w14:textFill>
        </w:rPr>
      </w:pPr>
      <w:r/>
      <w:bookmarkStart w:id="180" w:name="_Toc513029228"/>
      <w:r/>
      <w:bookmarkStart w:id="181" w:name="_Toc20823300"/>
      <w:r/>
      <w:bookmarkStart w:id="182" w:name="_Toc16938544"/>
      <w:r>
        <w:rPr>
          <w:rFonts w:hint="eastAsia"/>
          <w:color w:val="000000" w:themeColor="text1"/>
          <w:sz w:val="24"/>
          <w:szCs w:val="24"/>
          <w:highlight w:val="none"/>
          <w14:textFill>
            <w14:solidFill>
              <w14:schemeClr w14:val="tx1"/>
            </w14:solidFill>
          </w14:textFill>
        </w:rPr>
        <w:t xml:space="preserve">19.投标文件的撤回和修改</w:t>
      </w:r>
      <w:bookmarkEnd w:id="180"/>
      <w:r/>
      <w:bookmarkEnd w:id="181"/>
      <w:r/>
      <w:bookmarkEnd w:id="182"/>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19.1 投标文件的撤回</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19.1.1 供应商可在投标截止时间前撤回其电子投标文件，具体操作方法见《操作手册》。</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19.1.2 供应商撤回电子投标文件，则认为其不再参与本项目投标活动。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19.2 投标文件的修改</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19.2.1 供应商可在投标截止时间前对其电子投标文件进行修改，具体操作方法见《操作手册》。</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19.2.2 投标截止时间之后，供应商不得对其电子投标文件作任何修改。</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19.3 在投标截止时间至招标文件中规定的投标有效期满之间的这段时间内，供应商不得撤回其投标。</w:t>
      </w:r>
      <w:bookmarkStart w:id="183" w:name="_Toc513029229"/>
      <w:r/>
      <w:bookmarkStart w:id="184" w:name="_Toc20823301"/>
      <w:r/>
      <w:bookmarkStart w:id="185" w:name="_Toc16938545"/>
      <w:r/>
      <w:bookmarkStart w:id="186" w:name="_Toc120614218"/>
      <w:r/>
      <w:r/>
    </w:p>
    <w:p>
      <w:pPr>
        <w:pStyle w:val="724"/>
        <w:rPr>
          <w:rFonts w:cs="Times New Roman"/>
          <w:b/>
          <w:color w:val="000000" w:themeColor="text1"/>
          <w:highlight w:val="none"/>
          <w14:textFill>
            <w14:solidFill>
              <w14:schemeClr w14:val="tx1"/>
            </w14:solidFill>
          </w14:textFill>
        </w:rPr>
      </w:pPr>
      <w:r/>
      <w:bookmarkStart w:id="187" w:name="_Toc2443"/>
      <w:r>
        <w:rPr>
          <w:rFonts w:hint="eastAsia" w:cs="Times New Roman"/>
          <w:b/>
          <w:color w:val="000000" w:themeColor="text1"/>
          <w:highlight w:val="none"/>
          <w14:textFill>
            <w14:solidFill>
              <w14:schemeClr w14:val="tx1"/>
            </w14:solidFill>
          </w14:textFill>
        </w:rPr>
        <w:t xml:space="preserve">五、开标与评标</w:t>
      </w:r>
      <w:bookmarkEnd w:id="183"/>
      <w:r/>
      <w:bookmarkEnd w:id="184"/>
      <w:r/>
      <w:bookmarkEnd w:id="185"/>
      <w:r/>
      <w:bookmarkEnd w:id="186"/>
      <w:r/>
      <w:bookmarkEnd w:id="187"/>
      <w:r/>
      <w:r/>
    </w:p>
    <w:p>
      <w:pPr>
        <w:pStyle w:val="1142"/>
        <w:ind w:firstLine="480"/>
        <w:rPr>
          <w:color w:val="000000" w:themeColor="text1"/>
          <w:sz w:val="24"/>
          <w:szCs w:val="24"/>
          <w:highlight w:val="none"/>
          <w14:textFill>
            <w14:solidFill>
              <w14:schemeClr w14:val="tx1"/>
            </w14:solidFill>
          </w14:textFill>
        </w:rPr>
      </w:pPr>
      <w:r/>
      <w:bookmarkStart w:id="188" w:name="_Toc513029230"/>
      <w:r/>
      <w:bookmarkStart w:id="189" w:name="_Toc20823302"/>
      <w:r/>
      <w:bookmarkStart w:id="190" w:name="_Toc16938546"/>
      <w:r>
        <w:rPr>
          <w:rFonts w:hint="eastAsia"/>
          <w:color w:val="000000" w:themeColor="text1"/>
          <w:sz w:val="24"/>
          <w:szCs w:val="24"/>
          <w:highlight w:val="none"/>
          <w14:textFill>
            <w14:solidFill>
              <w14:schemeClr w14:val="tx1"/>
            </w14:solidFill>
          </w14:textFill>
        </w:rPr>
        <w:t xml:space="preserve">20.开标</w:t>
      </w:r>
      <w:bookmarkEnd w:id="188"/>
      <w:r/>
      <w:bookmarkEnd w:id="189"/>
      <w:r/>
      <w:bookmarkEnd w:id="190"/>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20.1 采购代理在招标公告中规定的时间和地点组织公开开标。供应商按照《操作手册》规定参加开标活动，并在苏采云系统规定的时间内对投标文件进行解密。苏采云系统公布各供应商名称和投标价格。</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20.2 供应商在开标过程中涉及到的投标文件解密、开标结果确认等工作，应按照《操作手册》规定执行。</w:t>
      </w:r>
      <w:r/>
    </w:p>
    <w:p>
      <w:pPr>
        <w:pStyle w:val="1142"/>
        <w:ind w:firstLine="482"/>
        <w:rPr>
          <w:b/>
          <w:color w:val="000000" w:themeColor="text1"/>
          <w:sz w:val="24"/>
          <w:szCs w:val="24"/>
          <w:highlight w:val="none"/>
          <w14:textFill>
            <w14:solidFill>
              <w14:schemeClr w14:val="tx1"/>
            </w14:solidFill>
          </w14:textFill>
        </w:rPr>
      </w:pPr>
      <w:r/>
      <w:bookmarkStart w:id="191" w:name="_Toc513029231"/>
      <w:r/>
      <w:bookmarkStart w:id="192" w:name="_Toc16938547"/>
      <w:r/>
      <w:bookmarkStart w:id="193" w:name="_Toc20823303"/>
      <w:r>
        <w:rPr>
          <w:rFonts w:hint="eastAsia"/>
          <w:b/>
          <w:color w:val="000000" w:themeColor="text1"/>
          <w:sz w:val="24"/>
          <w:szCs w:val="24"/>
          <w:highlight w:val="none"/>
          <w14:textFill>
            <w14:solidFill>
              <w14:schemeClr w14:val="tx1"/>
            </w14:solidFill>
          </w14:textFill>
        </w:rPr>
        <w:t xml:space="preserve">20.3 供应商如果对开标过程和开标结果有疑义，应当根据《操作手册》规定提出，苏采云系统中《开标记录表》公布后15分钟内未提出的，视同认可开标结果。</w:t>
      </w:r>
      <w:bookmarkEnd w:id="191"/>
      <w:bookmarkEnd w:id="192"/>
      <w:bookmarkEnd w:id="193"/>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21.评标</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21.1 评标由依法组建的评标委员会（以下简称“评委会”）进行。</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21.2</w:t>
      </w:r>
      <w:r>
        <w:rPr>
          <w:rFonts w:hint="eastAsia"/>
          <w:color w:val="000000" w:themeColor="text1"/>
          <w:sz w:val="24"/>
          <w:szCs w:val="24"/>
          <w:highlight w:val="none"/>
          <w14:textFill>
            <w14:solidFill>
              <w14:schemeClr w14:val="tx1"/>
            </w14:solidFill>
          </w14:textFill>
        </w:rPr>
        <w:t xml:space="preserve">评委会由采购人代表和有关技术、经济或法律等方面的专家组成，且人员构成符合政府采购有关规定。</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21.3 评委会独立工作，负责评审所有投标文件并推荐中标候选人，或根据采购人授权直接确定中标人。</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22.评标过程的保密与公正</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22.1 凡是与审查、澄清、评价和比较投标的有关资料以及授标建议等，采购人、评委、采购代理均不得向供应商或与评标无关的其他人员透露。</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22.2 供应商不得以任何方式影响评标，否则其投标文件将被作为无效投标文件。</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22.3 采购代理和评委会不向未中标的供应商解释未中标原因，也不公布评标过程中的相关细节。</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22.4 采用综合评分法的项目，未中标的供应商可于中标结果公告期限届满之日起通过苏采云系统查看本单位的评审得分及排名情况。</w:t>
      </w:r>
      <w:r/>
    </w:p>
    <w:p>
      <w:pPr>
        <w:pStyle w:val="1142"/>
        <w:ind w:firstLine="480"/>
        <w:rPr>
          <w:color w:val="000000" w:themeColor="text1"/>
          <w:sz w:val="24"/>
          <w:szCs w:val="24"/>
          <w:highlight w:val="none"/>
          <w14:textFill>
            <w14:solidFill>
              <w14:schemeClr w14:val="tx1"/>
            </w14:solidFill>
          </w14:textFill>
        </w:rPr>
      </w:pPr>
      <w:r/>
      <w:bookmarkStart w:id="194" w:name="_Toc513029232"/>
      <w:r/>
      <w:bookmarkStart w:id="195" w:name="_Toc20823304"/>
      <w:r/>
      <w:bookmarkStart w:id="196" w:name="_Toc16938548"/>
      <w:r>
        <w:rPr>
          <w:rFonts w:hint="eastAsia"/>
          <w:color w:val="000000" w:themeColor="text1"/>
          <w:sz w:val="24"/>
          <w:szCs w:val="24"/>
          <w:highlight w:val="none"/>
          <w14:textFill>
            <w14:solidFill>
              <w14:schemeClr w14:val="tx1"/>
            </w14:solidFill>
          </w14:textFill>
        </w:rPr>
        <w:t xml:space="preserve">23.投标文件的澄清</w:t>
      </w:r>
      <w:bookmarkEnd w:id="194"/>
      <w:r/>
      <w:bookmarkEnd w:id="195"/>
      <w:r/>
      <w:bookmarkEnd w:id="196"/>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23.1 评标期间，评委会对投标文件中含义不明确、同类问题表述不一致或者有明显文字和计算错误的内容，有权要求供应商作出必要的澄清、说明或者补正。</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供应商的澄清、说明或者补正不得超出投标文件的范围或者改变投标文件的实质性内容。</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评委会并非对每个供应商都做澄清要求。</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23.3 接到评委会澄清、说明和补正要求的，供应商如未按规定作出澄清、说明和补正，其风险由供应商自行承担。</w:t>
      </w:r>
      <w:r/>
    </w:p>
    <w:p>
      <w:pPr>
        <w:pStyle w:val="1142"/>
        <w:ind w:firstLine="480"/>
        <w:rPr>
          <w:color w:val="000000" w:themeColor="text1"/>
          <w:sz w:val="24"/>
          <w:szCs w:val="24"/>
          <w:highlight w:val="none"/>
          <w14:textFill>
            <w14:solidFill>
              <w14:schemeClr w14:val="tx1"/>
            </w14:solidFill>
          </w14:textFill>
        </w:rPr>
      </w:pPr>
      <w:r/>
      <w:bookmarkStart w:id="197" w:name="_Toc513029233"/>
      <w:r/>
      <w:bookmarkStart w:id="198" w:name="_Toc16938549"/>
      <w:r/>
      <w:bookmarkStart w:id="199" w:name="_Toc20823305"/>
      <w:r>
        <w:rPr>
          <w:rFonts w:hint="eastAsia"/>
          <w:color w:val="000000" w:themeColor="text1"/>
          <w:sz w:val="24"/>
          <w:szCs w:val="24"/>
          <w:highlight w:val="none"/>
          <w14:textFill>
            <w14:solidFill>
              <w14:schemeClr w14:val="tx1"/>
            </w14:solidFill>
          </w14:textFill>
        </w:rPr>
        <w:t xml:space="preserve">24.投标文件的</w:t>
      </w:r>
      <w:bookmarkEnd w:id="197"/>
      <w:r/>
      <w:bookmarkEnd w:id="198"/>
      <w:r/>
      <w:bookmarkEnd w:id="199"/>
      <w:r>
        <w:rPr>
          <w:rFonts w:hint="eastAsia"/>
          <w:color w:val="000000" w:themeColor="text1"/>
          <w:sz w:val="24"/>
          <w:szCs w:val="24"/>
          <w:highlight w:val="none"/>
          <w14:textFill>
            <w14:solidFill>
              <w14:schemeClr w14:val="tx1"/>
            </w14:solidFill>
          </w14:textFill>
        </w:rPr>
        <w:t xml:space="preserve">审查</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24.1 投标文件审查分为资格审查和符合性审查。</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24.1.1 资格审查。公开招标采购项目开标结束后，采购人或者采购代理机构应当依法对投标人的资格进行审查。合格投标人不足3家的，不得评标。</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接受联合体的项目，联合体成员存在不良信用记录的，视同联合体存在不良信用记录。</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24.1.2 符合性审查。依据招标文件的规定，由评委会从有效性、完整性和对招标文件的响应程度等方面对投标文件进行审查，以确定是否对招标文件的实质性要求作出响应。</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24.1.3 未通过资格审查或符合性审查的供应商，采购代理将通过苏采云系统告知其具体原因，评标结束后不再接受有关询问。</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24.2 评委会仅对实质性响应招标文件要求的投标文件进行详细评审。实质性响应的投标文件应该是与招标文件要求的全部条款、条件和规格相符，没有重大偏离或保留的文件。</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采购人的权利或供应商的义务，纠正这些偏离或保留将会对其他实质性响应的供应商产生不公正的影响。重大偏离的认定由评委会按照少数服从多数的原则作出结论。评委会认定投标文件的响应性只根据投标文件本身的内容，而不寻求外部的证据。</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24.3 如果投标文件实质上没有响应招标文件的要求，评委会将予以拒绝，供应商不得通过修改或撤销不合要求的偏离或保留而使其投标成为实质性响应的投标。</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24.4 评委会将对确定为实质性响应的投标进行进一步审核，确定其是否有计算上或累加上的算术错误。修正错误的原则如下：</w:t>
      </w:r>
      <w:r/>
    </w:p>
    <w:p>
      <w:pPr>
        <w:pStyle w:val="1142"/>
        <w:ind w:firstLine="482"/>
        <w:rPr>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（1）投标文件中开标一览表内容与投标文件中相应内容不一致的，以开标一览表为准；</w:t>
      </w:r>
      <w:r/>
    </w:p>
    <w:p>
      <w:pPr>
        <w:pStyle w:val="1142"/>
        <w:ind w:firstLine="482"/>
        <w:rPr>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（2）大写金额和小写金额不一致的，以大写金额为准；</w:t>
      </w:r>
      <w:r/>
    </w:p>
    <w:p>
      <w:pPr>
        <w:pStyle w:val="1142"/>
        <w:ind w:firstLine="482"/>
        <w:rPr>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（3）单价金额小数点或者百分比有明显错位的，以开标一览表的总价为准，并修改单价；</w:t>
      </w:r>
      <w:r/>
    </w:p>
    <w:p>
      <w:pPr>
        <w:pStyle w:val="1142"/>
        <w:ind w:firstLine="482"/>
        <w:rPr>
          <w:b/>
          <w:color w:val="000000" w:themeColor="text1"/>
          <w:sz w:val="22"/>
          <w:szCs w:val="22"/>
          <w:highlight w:val="none"/>
          <w14:textFill>
            <w14:solidFill>
              <w14:schemeClr w14:val="tx1"/>
            </w14:solidFill>
          </w14:textFill>
        </w:rPr>
      </w:pPr>
      <w:r>
        <w:rPr>
          <w:rFonts w:hint="eastAsia"/>
          <w:b/>
          <w:color w:val="000000" w:themeColor="text1"/>
          <w:sz w:val="22"/>
          <w:szCs w:val="22"/>
          <w:highlight w:val="none"/>
          <w14:textFill>
            <w14:solidFill>
              <w14:schemeClr w14:val="tx1"/>
            </w14:solidFill>
          </w14:textFill>
        </w:rPr>
        <w:t xml:space="preserve">（4）总价金额与按单价汇总金额不一致的，以单价金额计算结果为准。</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同时出现两种以上错误的，按照前款规定的顺序修正。</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24.5 评委会将按上述修正错误的方法调整投标文件中的投标报价，并通过苏采云系统告知供应商，调整后的价格对供应商具有约束力。如果供应商不接受修正后的价格，则其投标将被拒绝。</w:t>
      </w:r>
      <w:r/>
    </w:p>
    <w:p>
      <w:pPr>
        <w:pStyle w:val="1142"/>
        <w:ind w:firstLine="480"/>
        <w:rPr>
          <w:rFonts w:hint="eastAsia"/>
          <w:color w:val="000000" w:themeColor="text1"/>
          <w:sz w:val="24"/>
          <w:szCs w:val="24"/>
          <w:highlight w:val="none"/>
          <w14:textFill>
            <w14:solidFill>
              <w14:schemeClr w14:val="tx1"/>
            </w14:solidFill>
          </w14:textFill>
        </w:rPr>
      </w:pPr>
      <w:r/>
      <w:bookmarkStart w:id="200" w:name="_Toc16938550"/>
      <w:r/>
      <w:bookmarkStart w:id="201" w:name="_Toc513029234"/>
      <w:r/>
      <w:bookmarkStart w:id="202" w:name="_Toc20823306"/>
      <w:r>
        <w:rPr>
          <w:rFonts w:hint="eastAsia"/>
          <w:color w:val="000000" w:themeColor="text1"/>
          <w:sz w:val="24"/>
          <w:szCs w:val="24"/>
          <w:highlight w:val="none"/>
          <w14:textFill>
            <w14:solidFill>
              <w14:schemeClr w14:val="tx1"/>
            </w14:solidFill>
          </w14:textFill>
        </w:rPr>
        <w:t xml:space="preserve">24.6 供应商在开、评标全过程中应保持通讯畅通，及时登录苏采云系统查阅、答复相关信息，并安排专人与采购代理及评委会联系。</w:t>
      </w:r>
      <w:r/>
    </w:p>
    <w:p>
      <w:pPr>
        <w:pStyle w:val="1142"/>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异常低价投标审查</w:t>
      </w:r>
      <w:r/>
    </w:p>
    <w:p>
      <w:pPr>
        <w:pStyle w:val="1142"/>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.1 评标过程中出现下列情形之一的，评标委员会应当启动异常低价投标审查程序：</w:t>
      </w:r>
      <w:r/>
    </w:p>
    <w:p>
      <w:pPr>
        <w:pStyle w:val="1142"/>
        <w:ind w:firstLine="480"/>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（1）投标报价低于全部通过符合性审查供应商投标报价平均值</w:t>
      </w:r>
      <w:r>
        <w:rPr>
          <w:rFonts w:hint="eastAsia"/>
          <w:color w:val="000000" w:themeColor="text1"/>
          <w:sz w:val="24"/>
          <w:szCs w:val="24"/>
          <w:highlight w:val="none"/>
          <w:lang w:val="en-US" w:eastAsia="zh-CN"/>
          <w14:textFill>
            <w14:solidFill>
              <w14:schemeClr w14:val="tx1"/>
            </w14:solidFill>
          </w14:textFill>
        </w:rPr>
        <w:t xml:space="preserve">65%</w:t>
      </w:r>
      <w:r>
        <w:rPr>
          <w:rFonts w:hint="eastAsia"/>
          <w:color w:val="000000" w:themeColor="text1"/>
          <w:sz w:val="24"/>
          <w:szCs w:val="24"/>
          <w:highlight w:val="none"/>
          <w:lang w:val="zh-CN"/>
          <w14:textFill>
            <w14:solidFill>
              <w14:schemeClr w14:val="tx1"/>
            </w14:solidFill>
          </w14:textFill>
        </w:rPr>
        <w:t xml:space="preserve">的，即投标报价&lt;全部通过符合性审查供应商投标报价平均值×</w:t>
      </w:r>
      <w:r>
        <w:rPr>
          <w:rFonts w:hint="eastAsia"/>
          <w:color w:val="000000" w:themeColor="text1"/>
          <w:sz w:val="24"/>
          <w:szCs w:val="24"/>
          <w:highlight w:val="none"/>
          <w:lang w:val="en-US" w:eastAsia="zh-CN"/>
          <w14:textFill>
            <w14:solidFill>
              <w14:schemeClr w14:val="tx1"/>
            </w14:solidFill>
          </w14:textFill>
        </w:rPr>
        <w:t xml:space="preserve">65</w:t>
      </w:r>
      <w:r>
        <w:rPr>
          <w:rFonts w:hint="eastAsia"/>
          <w:color w:val="000000" w:themeColor="text1"/>
          <w:sz w:val="24"/>
          <w:szCs w:val="24"/>
          <w:highlight w:val="none"/>
          <w:lang w:val="zh-CN"/>
          <w14:textFill>
            <w14:solidFill>
              <w14:schemeClr w14:val="tx1"/>
            </w14:solidFill>
          </w14:textFill>
        </w:rPr>
        <w:t xml:space="preserve">%；</w:t>
      </w:r>
      <w:r/>
    </w:p>
    <w:p>
      <w:pPr>
        <w:pStyle w:val="1142"/>
        <w:ind w:firstLine="480"/>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（2）投标报价低于通过符合性审查的次低报价供应商投标报价</w:t>
      </w:r>
      <w:r>
        <w:rPr>
          <w:rFonts w:hint="eastAsia"/>
          <w:color w:val="000000" w:themeColor="text1"/>
          <w:sz w:val="24"/>
          <w:szCs w:val="24"/>
          <w:highlight w:val="none"/>
          <w:lang w:val="en-US" w:eastAsia="zh-CN"/>
          <w14:textFill>
            <w14:solidFill>
              <w14:schemeClr w14:val="tx1"/>
            </w14:solidFill>
          </w14:textFill>
        </w:rPr>
        <w:t xml:space="preserve">65</w:t>
      </w:r>
      <w:r>
        <w:rPr>
          <w:rFonts w:hint="eastAsia"/>
          <w:color w:val="000000" w:themeColor="text1"/>
          <w:sz w:val="24"/>
          <w:szCs w:val="24"/>
          <w:highlight w:val="none"/>
          <w:lang w:val="zh-CN"/>
          <w14:textFill>
            <w14:solidFill>
              <w14:schemeClr w14:val="tx1"/>
            </w14:solidFill>
          </w14:textFill>
        </w:rPr>
        <w:t xml:space="preserve">%的，即投标报价&lt;通过符合性审查的次低报价供应商投标报价×</w:t>
      </w:r>
      <w:r>
        <w:rPr>
          <w:rFonts w:hint="eastAsia"/>
          <w:color w:val="000000" w:themeColor="text1"/>
          <w:sz w:val="24"/>
          <w:szCs w:val="24"/>
          <w:highlight w:val="none"/>
          <w:lang w:val="en-US" w:eastAsia="zh-CN"/>
          <w14:textFill>
            <w14:solidFill>
              <w14:schemeClr w14:val="tx1"/>
            </w14:solidFill>
          </w14:textFill>
        </w:rPr>
        <w:t xml:space="preserve">65</w:t>
      </w:r>
      <w:r>
        <w:rPr>
          <w:rFonts w:hint="eastAsia"/>
          <w:color w:val="000000" w:themeColor="text1"/>
          <w:sz w:val="24"/>
          <w:szCs w:val="24"/>
          <w:highlight w:val="none"/>
          <w:lang w:val="zh-CN"/>
          <w14:textFill>
            <w14:solidFill>
              <w14:schemeClr w14:val="tx1"/>
            </w14:solidFill>
          </w14:textFill>
        </w:rPr>
        <w:t xml:space="preserve">%；</w:t>
      </w:r>
      <w:r/>
    </w:p>
    <w:p>
      <w:pPr>
        <w:pStyle w:val="1142"/>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zh-CN" w:eastAsia="zh-CN"/>
          <w14:textFill>
            <w14:solidFill>
              <w14:schemeClr w14:val="tx1"/>
            </w14:solidFill>
          </w14:textFill>
        </w:rPr>
        <w:t xml:space="preserve">（3）投标报价低于采购项目最高限价</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lang w:val="zh-CN" w:eastAsia="zh-CN"/>
          <w14:textFill>
            <w14:solidFill>
              <w14:schemeClr w14:val="tx1"/>
            </w14:solidFill>
          </w14:textFill>
        </w:rPr>
        <w:t xml:space="preserve">5%的，即投标报价&lt;采购项目最高限价×</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lang w:val="zh-CN" w:eastAsia="zh-CN"/>
          <w14:textFill>
            <w14:solidFill>
              <w14:schemeClr w14:val="tx1"/>
            </w14:solidFill>
          </w14:textFill>
        </w:rPr>
        <w:t xml:space="preserve">5%；</w:t>
      </w:r>
      <w:r/>
    </w:p>
    <w:p>
      <w:pPr>
        <w:pStyle w:val="1142"/>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）评标委员会认定的供应商报价过低、有可能影响产品质量或者不能诚信履约的其他情形。</w:t>
      </w:r>
      <w:r/>
    </w:p>
    <w:p>
      <w:pPr>
        <w:pStyle w:val="1142"/>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w:t>
      </w: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w:t>
      </w:r>
      <w:bookmarkEnd w:id="200"/>
      <w:r/>
      <w:bookmarkEnd w:id="201"/>
      <w:r/>
      <w:bookmarkEnd w:id="202"/>
      <w:r>
        <w:rPr>
          <w:rFonts w:hint="eastAsia"/>
          <w:color w:val="000000" w:themeColor="text1"/>
          <w:sz w:val="24"/>
          <w:szCs w:val="24"/>
          <w:highlight w:val="none"/>
          <w14:textFill>
            <w14:solidFill>
              <w14:schemeClr w14:val="tx1"/>
            </w14:solidFill>
          </w14:textFill>
        </w:rPr>
        <w:t xml:space="preserve">5.无效投标和废标</w:t>
      </w:r>
      <w:r/>
    </w:p>
    <w:p>
      <w:pPr>
        <w:pStyle w:val="1142"/>
        <w:ind w:firstLine="480"/>
        <w:rPr>
          <w:color w:val="000000" w:themeColor="text1"/>
          <w:sz w:val="24"/>
          <w:szCs w:val="24"/>
          <w:highlight w:val="none"/>
          <w14:textFill>
            <w14:solidFill>
              <w14:schemeClr w14:val="tx1"/>
            </w14:solidFill>
          </w14:textFill>
        </w:rPr>
      </w:pPr>
      <w:r/>
      <w:bookmarkStart w:id="203" w:name="_Toc16938551"/>
      <w:r/>
      <w:bookmarkStart w:id="204" w:name="_Toc20823307"/>
      <w:r/>
      <w:bookmarkStart w:id="205" w:name="_Toc513029235"/>
      <w:r>
        <w:rPr>
          <w:rFonts w:hint="eastAsia"/>
          <w:color w:val="000000" w:themeColor="text1"/>
          <w:sz w:val="24"/>
          <w:szCs w:val="24"/>
          <w:highlight w:val="none"/>
          <w14:textFill>
            <w14:solidFill>
              <w14:schemeClr w14:val="tx1"/>
            </w14:solidFill>
          </w14:textFill>
        </w:rPr>
        <w:t xml:space="preserve">25.1 无效投标情形</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25.1.1 供应商在苏采云系统规定的时间内未成功解密电子投标文件。</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25.1.2 供应商未按照招标文件要求上传电子投标文件。</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25.1.3 同一供应商提交两个（含两个）以上不同的投标报价。</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25.1.4 供应商不具备招标文件中规定资格要求。</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25.1.5 供应商的报价超过了采购预算或最高限价。</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25.1.6 未通过符合性审查。</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25.1.7 不符合招标文件中实质性要求和条件（本文件中斜体且有下划线部分，或者打“★”内容为实质性要求和条件）。</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25.1.8 供应商被“信用中国”网站（www.creditchina.gov.cn）列入失信被执行人或重大税收违法失信主体名单或政府采购严重失信行为记录名单，或查询“信用中国”网站后发现供应商存在其他不符合《中华人民共和国政府采购法》第二十二条规定条件的信用记录。</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25.1.9 投标文件含有采购人不能接受的附加条件。</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25.1.10 评委会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委会应当将其作为无效投标处理。</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25.1.11 采购产品被财政部、国家发改委、生态环境部等列入“节能产品品目清单”强制采购范围，而供应商提供的产品不在强制采购范围内。</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25.1.12 投标文件未按照招标文件要求加盖电子公章。</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25.1.13 法律法规及本招标文件规定的其他无效投标情形。</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25.2 废标情形</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25.2.1 符合资格条件的供应商或者对招标文件作实质响应的供应商不足三家。</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25.2.2 出现影响采购公正的违法、违规行为。</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25.2.3 因重大变故采购任务取消。</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25.2.4 评委会认定招标文件存在歧义、重大缺陷导致评审工作无法进行。</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25.2.5 因苏采云系统故障造成开标不成功。</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25.3 如出现投标截止时间后参加投标的供应商或者对招标文件作出实质性响应的供应商不足三家的情况，按政府采购相关规定执行。</w:t>
      </w:r>
      <w:bookmarkEnd w:id="167"/>
      <w:bookmarkEnd w:id="168"/>
      <w:bookmarkEnd w:id="169"/>
      <w:bookmarkEnd w:id="203"/>
      <w:bookmarkEnd w:id="204"/>
      <w:bookmarkEnd w:id="205"/>
      <w:r/>
    </w:p>
    <w:p>
      <w:pPr>
        <w:pStyle w:val="724"/>
        <w:rPr>
          <w:rFonts w:cs="Times New Roman"/>
          <w:b/>
          <w:color w:val="000000" w:themeColor="text1"/>
          <w:highlight w:val="none"/>
          <w14:textFill>
            <w14:solidFill>
              <w14:schemeClr w14:val="tx1"/>
            </w14:solidFill>
          </w14:textFill>
        </w:rPr>
      </w:pPr>
      <w:r/>
      <w:bookmarkStart w:id="206" w:name="_Toc120614219"/>
      <w:r/>
      <w:bookmarkStart w:id="207" w:name="_Toc15283"/>
      <w:r>
        <w:rPr>
          <w:rFonts w:hint="eastAsia" w:cs="Times New Roman"/>
          <w:b/>
          <w:color w:val="000000" w:themeColor="text1"/>
          <w:highlight w:val="none"/>
          <w14:textFill>
            <w14:solidFill>
              <w14:schemeClr w14:val="tx1"/>
            </w14:solidFill>
          </w14:textFill>
        </w:rPr>
        <w:t xml:space="preserve">六、定标</w:t>
      </w:r>
      <w:bookmarkEnd w:id="206"/>
      <w:r/>
      <w:bookmarkEnd w:id="207"/>
      <w:r/>
      <w:r/>
    </w:p>
    <w:p>
      <w:pPr>
        <w:pStyle w:val="1142"/>
        <w:ind w:firstLine="480"/>
        <w:rPr>
          <w:color w:val="000000" w:themeColor="text1"/>
          <w:sz w:val="24"/>
          <w:szCs w:val="24"/>
          <w:highlight w:val="none"/>
          <w14:textFill>
            <w14:solidFill>
              <w14:schemeClr w14:val="tx1"/>
            </w14:solidFill>
          </w14:textFill>
        </w:rPr>
      </w:pPr>
      <w:r/>
      <w:bookmarkStart w:id="208" w:name="_Toc513029238"/>
      <w:r/>
      <w:bookmarkStart w:id="209" w:name="_Toc20823310"/>
      <w:r/>
      <w:bookmarkStart w:id="210" w:name="_Toc16938554"/>
      <w:r>
        <w:rPr>
          <w:rFonts w:hint="eastAsia"/>
          <w:color w:val="000000" w:themeColor="text1"/>
          <w:sz w:val="24"/>
          <w:szCs w:val="24"/>
          <w:highlight w:val="none"/>
          <w14:textFill>
            <w14:solidFill>
              <w14:schemeClr w14:val="tx1"/>
            </w14:solidFill>
          </w14:textFill>
        </w:rPr>
        <w:t xml:space="preserve">2</w:t>
      </w:r>
      <w:bookmarkEnd w:id="208"/>
      <w:r>
        <w:rPr>
          <w:rFonts w:hint="eastAsia"/>
          <w:color w:val="000000" w:themeColor="text1"/>
          <w:sz w:val="24"/>
          <w:szCs w:val="24"/>
          <w:highlight w:val="none"/>
          <w14:textFill>
            <w14:solidFill>
              <w14:schemeClr w14:val="tx1"/>
            </w14:solidFill>
          </w14:textFill>
        </w:rPr>
        <w:t xml:space="preserve">6.确定</w:t>
      </w:r>
      <w:bookmarkEnd w:id="209"/>
      <w:r/>
      <w:bookmarkEnd w:id="210"/>
      <w:r>
        <w:rPr>
          <w:rFonts w:hint="eastAsia"/>
          <w:color w:val="000000" w:themeColor="text1"/>
          <w:sz w:val="24"/>
          <w:szCs w:val="24"/>
          <w:highlight w:val="none"/>
          <w14:textFill>
            <w14:solidFill>
              <w14:schemeClr w14:val="tx1"/>
            </w14:solidFill>
          </w14:textFill>
        </w:rPr>
        <w:t xml:space="preserve">中标单位</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26.1 中标候选人的确定原则和数量见招标文件第五章。 </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26.2 按以下第（2）种方式确定中标人：</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（1）评委会直接确定排名第一的中标候选人为中标人；</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（2）采购人在评委会推荐的中标候选人中按顺序确定中标人。</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按第二种方式确定中标人的，采购代理自评审结束之日起两个工作日内将评审报告送达采购人，采购人自收到评审报告之日起五个工作日内，在评审报告推荐的中标候选人中按顺序确定中标人。</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26.3 采购代理将在“江苏政府采购网”发布中标公告，公告期限为1个工作日。</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 若有充分证据证明中标人有下列情况之一的，一经查实将被取消中标资格：</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26.4.1 提供虚假材料谋取中标。</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26.4.2 向评审专家、采购人或采购代理工作人员行贿或者提供其他不正当利益。</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26.4.3 与其他供应商、评审专家、采购人或采购代理工作人员恶意串通。</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26.4.4 属于本文件规定的无效投标情形，但在评标过程中未被评委会发现。</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26.4.5 采取不正当手段诋毁、排挤其他供应商。</w:t>
      </w:r>
      <w:r/>
    </w:p>
    <w:p>
      <w:pPr>
        <w:pStyle w:val="1142"/>
        <w:ind w:firstLine="480"/>
        <w:rPr>
          <w:color w:val="000000" w:themeColor="text1"/>
          <w:sz w:val="24"/>
          <w:szCs w:val="24"/>
          <w:highlight w:val="none"/>
          <w14:textFill>
            <w14:solidFill>
              <w14:schemeClr w14:val="tx1"/>
            </w14:solidFill>
          </w14:textFill>
        </w:rPr>
      </w:pPr>
      <w:r/>
      <w:bookmarkStart w:id="211" w:name="_Toc200451960"/>
      <w:r>
        <w:rPr>
          <w:rFonts w:hint="eastAsia"/>
          <w:color w:val="000000" w:themeColor="text1"/>
          <w:sz w:val="24"/>
          <w:szCs w:val="24"/>
          <w:highlight w:val="none"/>
          <w14:textFill>
            <w14:solidFill>
              <w14:schemeClr w14:val="tx1"/>
            </w14:solidFill>
          </w14:textFill>
        </w:rPr>
        <w:t xml:space="preserve">26.5 有下列情形之一的视为供应商串通投标，投标无效：</w:t>
      </w:r>
      <w:r/>
    </w:p>
    <w:p>
      <w:pPr>
        <w:pStyle w:val="1142"/>
        <w:ind w:firstLine="482"/>
        <w:rPr>
          <w:b/>
          <w:bCs w:val="0"/>
          <w:color w:val="000000" w:themeColor="text1"/>
          <w:sz w:val="24"/>
          <w:szCs w:val="24"/>
          <w:highlight w:val="none"/>
          <w14:textFill>
            <w14:solidFill>
              <w14:schemeClr w14:val="tx1"/>
            </w14:solidFill>
          </w14:textFill>
        </w:rPr>
      </w:pPr>
      <w:r>
        <w:rPr>
          <w:rFonts w:hint="eastAsia"/>
          <w:b/>
          <w:bCs w:val="0"/>
          <w:color w:val="000000" w:themeColor="text1"/>
          <w:sz w:val="24"/>
          <w:szCs w:val="24"/>
          <w:highlight w:val="none"/>
          <w14:textFill>
            <w14:solidFill>
              <w14:schemeClr w14:val="tx1"/>
            </w14:solidFill>
          </w14:textFill>
        </w:rPr>
        <w:t xml:space="preserve">26.5.1 不同供应商的投标文件由同一单位或者个人编制。</w:t>
      </w:r>
      <w:r/>
    </w:p>
    <w:p>
      <w:pPr>
        <w:pStyle w:val="1142"/>
        <w:ind w:firstLine="482"/>
        <w:rPr>
          <w:b/>
          <w:bCs w:val="0"/>
          <w:color w:val="000000" w:themeColor="text1"/>
          <w:sz w:val="24"/>
          <w:szCs w:val="24"/>
          <w:highlight w:val="none"/>
          <w14:textFill>
            <w14:solidFill>
              <w14:schemeClr w14:val="tx1"/>
            </w14:solidFill>
          </w14:textFill>
        </w:rPr>
      </w:pPr>
      <w:r>
        <w:rPr>
          <w:rFonts w:hint="eastAsia"/>
          <w:b/>
          <w:bCs w:val="0"/>
          <w:color w:val="000000" w:themeColor="text1"/>
          <w:sz w:val="24"/>
          <w:szCs w:val="24"/>
          <w:highlight w:val="none"/>
          <w14:textFill>
            <w14:solidFill>
              <w14:schemeClr w14:val="tx1"/>
            </w14:solidFill>
          </w14:textFill>
        </w:rPr>
        <w:t xml:space="preserve">26.5.2 不同供应商委托同一单位或者个人办理投标事宜。</w:t>
      </w:r>
      <w:r/>
    </w:p>
    <w:p>
      <w:pPr>
        <w:pStyle w:val="1142"/>
        <w:ind w:firstLine="482"/>
        <w:rPr>
          <w:b/>
          <w:bCs w:val="0"/>
          <w:color w:val="000000" w:themeColor="text1"/>
          <w:sz w:val="24"/>
          <w:szCs w:val="24"/>
          <w:highlight w:val="none"/>
          <w14:textFill>
            <w14:solidFill>
              <w14:schemeClr w14:val="tx1"/>
            </w14:solidFill>
          </w14:textFill>
        </w:rPr>
      </w:pPr>
      <w:r>
        <w:rPr>
          <w:rFonts w:hint="eastAsia"/>
          <w:b/>
          <w:bCs w:val="0"/>
          <w:color w:val="000000" w:themeColor="text1"/>
          <w:sz w:val="24"/>
          <w:szCs w:val="24"/>
          <w:highlight w:val="none"/>
          <w14:textFill>
            <w14:solidFill>
              <w14:schemeClr w14:val="tx1"/>
            </w14:solidFill>
          </w14:textFill>
        </w:rPr>
        <w:t xml:space="preserve">26.5.3 不同供应商的投标文件载明的项目管理成员或者联系人员为同一人。</w:t>
      </w:r>
      <w:r/>
    </w:p>
    <w:p>
      <w:pPr>
        <w:pStyle w:val="1142"/>
        <w:ind w:firstLine="482"/>
        <w:rPr>
          <w:b/>
          <w:color w:val="000000" w:themeColor="text1"/>
          <w:sz w:val="24"/>
          <w:szCs w:val="24"/>
          <w:highlight w:val="none"/>
          <w14:textFill>
            <w14:solidFill>
              <w14:schemeClr w14:val="tx1"/>
            </w14:solidFill>
          </w14:textFill>
        </w:rPr>
      </w:pPr>
      <w:r>
        <w:rPr>
          <w:rFonts w:hint="eastAsia"/>
          <w:b/>
          <w:bCs w:val="0"/>
          <w:color w:val="000000" w:themeColor="text1"/>
          <w:sz w:val="24"/>
          <w:szCs w:val="24"/>
          <w:highlight w:val="none"/>
          <w14:textFill>
            <w14:solidFill>
              <w14:schemeClr w14:val="tx1"/>
            </w14:solidFill>
          </w14:textFill>
        </w:rPr>
        <w:t xml:space="preserve">26.5.4 不同供应商的投标文件异常一致或者投标报价呈规律性差异。</w:t>
      </w:r>
      <w:bookmarkEnd w:id="211"/>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27.中标通知书</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27.l 中标结果确定后，采购代理将向中标人发出《中标通知书》。中标人可在中标结果公告届满之日起三十日内，登录苏采云系统下载。</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27.2 《中标通知书》是合同的一个组成部分，对采购人和中标人均具有法律效力。《中标通知书》发出后，采购人改变中标结果或者中标人放弃中标项目的，应当依法承担法律责任。</w:t>
      </w:r>
      <w:r/>
    </w:p>
    <w:p>
      <w:pPr>
        <w:pStyle w:val="724"/>
        <w:rPr>
          <w:rFonts w:cs="Times New Roman"/>
          <w:b/>
          <w:color w:val="000000" w:themeColor="text1"/>
          <w:highlight w:val="none"/>
          <w14:textFill>
            <w14:solidFill>
              <w14:schemeClr w14:val="tx1"/>
            </w14:solidFill>
          </w14:textFill>
        </w:rPr>
      </w:pPr>
      <w:r/>
      <w:bookmarkStart w:id="212" w:name="_Toc16938552"/>
      <w:r/>
      <w:bookmarkStart w:id="213" w:name="_Toc20823308"/>
      <w:r/>
      <w:bookmarkStart w:id="214" w:name="_Toc1570"/>
      <w:r/>
      <w:bookmarkStart w:id="215" w:name="_Toc513029236"/>
      <w:r/>
      <w:bookmarkStart w:id="216" w:name="_Toc120614220"/>
      <w:r>
        <w:rPr>
          <w:rFonts w:hint="eastAsia" w:cs="Times New Roman"/>
          <w:b/>
          <w:color w:val="000000" w:themeColor="text1"/>
          <w:highlight w:val="none"/>
          <w14:textFill>
            <w14:solidFill>
              <w14:schemeClr w14:val="tx1"/>
            </w14:solidFill>
          </w14:textFill>
        </w:rPr>
        <w:t xml:space="preserve">七、授予合同</w:t>
      </w:r>
      <w:bookmarkEnd w:id="212"/>
      <w:r/>
      <w:bookmarkEnd w:id="213"/>
      <w:r/>
      <w:bookmarkEnd w:id="214"/>
      <w:r/>
      <w:bookmarkEnd w:id="215"/>
      <w:r/>
      <w:bookmarkEnd w:id="216"/>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28.签订合同</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28.l 中标人应当在《中标通知书》发出之日起三十日内，按照招标文件确定的事项与采购人签订政府采购合同。采购人于合同签订后2个工作日内通过苏采云系统进行公示。</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 招标文件、中标人的投标文件及招标过程中有关澄清、承诺文件均作为合同附件。</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28.4 中标人因自身原因拒绝与采购人签订合同的，不得参加采购人重新组织的采购活动，且将可能被拒绝参加该采购人一年内的其他政府采购活动。</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29.标的物的追加</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30.政府采购履约资金扶持政策</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30.1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24"/>
        <w:rPr>
          <w:rFonts w:cs="Times New Roman"/>
          <w:b/>
          <w:color w:val="000000" w:themeColor="text1"/>
          <w:highlight w:val="none"/>
          <w14:textFill>
            <w14:solidFill>
              <w14:schemeClr w14:val="tx1"/>
            </w14:solidFill>
          </w14:textFill>
        </w:rPr>
      </w:pPr>
      <w:r/>
      <w:bookmarkStart w:id="217" w:name="_Toc8587"/>
      <w:r>
        <w:rPr>
          <w:rFonts w:hint="eastAsia" w:cs="Times New Roman"/>
          <w:b/>
          <w:color w:val="000000" w:themeColor="text1"/>
          <w:highlight w:val="none"/>
          <w14:textFill>
            <w14:solidFill>
              <w14:schemeClr w14:val="tx1"/>
            </w14:solidFill>
          </w14:textFill>
        </w:rPr>
        <w:t xml:space="preserve">八、质疑</w:t>
      </w:r>
      <w:bookmarkEnd w:id="217"/>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31.提出质疑的供应商应当是参与所质疑项目采购活动的供应商，潜在供应商依法获取其可质疑的采购文件的，可以对采购文件提出质疑。</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32.供应商认为采购文件、采购过程和采购结果使自己的权益受到损害的，可以在知道或应知其权益受到损害之日起七个工作日内，按照第34条、第35条之规定以书面形式向采购人或采购代理提出质疑。上述应知其权益受到损害之日是指：</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32.1 对采购文件提出质疑的，为收到采购文件之日或者采购文件公告期限届满之日。</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32.2 对采购过程提出质疑的，为各采购程序环节结束之日。</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32.3 对中标或者成交结果提出质疑的，为中标或者成交结果公告期限届满之日。</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33.供应商应当在法定质疑期内一次性提出针对同一采购程序环节的质疑。供应商如在法定期限内对同一采购程序环节提出多次质疑的，采购代理或采购人将只对供应商第一次质疑作出答复。</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34.供应商提出质疑应提交《质疑函》原件，且尽可能通过邮寄方式送达，采购代理和采购人不接受无运单的快件。《质疑函》应按照本招标文件中《质疑函范本》的格式和内容填写。</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供应商如组成联合体参加采购活动，《质疑函范本》中要求加盖公章之处，联合体各方均须按要求加盖公章。</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35.供应商（含潜在供应商）对与本项目有关的所有询问、质疑均向采购人提出，由采购人负责答复。采购人《质疑函》接收人及联系方式见招标文件第一章。</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由采购人负责答复的质疑，采购人将《质疑答复函》抄送采购代理。</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36.以下情形的质疑不予受理：</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36.1 内容不符合《政府采购质疑和投诉办法》第十二条规定的质疑。</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36.2 超出政府采购法定期限的质疑。</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36.3 以传真、电子邮件等方式递交的非原件形式的质疑。</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36.4 未参加采购活动或在采购活动中自身权益未受到损害的供应商所提出的质疑。</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36.5 供应商组成联合体参加采购活动，联合体中任何一方或多方未按要求签字或签章、加盖公章的质疑。</w:t>
      </w:r>
      <w:r/>
    </w:p>
    <w:p>
      <w:pPr>
        <w:pStyle w:val="1142"/>
        <w:ind w:firstLine="482"/>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36.6 法律法规规定的其他不予受理情形。</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37.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p>
    <w:p>
      <w:pPr>
        <w:pStyle w:val="724"/>
        <w:rPr>
          <w:rFonts w:cs="Times New Roman"/>
          <w:b/>
          <w:color w:val="000000" w:themeColor="text1"/>
          <w:highlight w:val="none"/>
          <w14:textFill>
            <w14:solidFill>
              <w14:schemeClr w14:val="tx1"/>
            </w14:solidFill>
          </w14:textFill>
        </w:rPr>
      </w:pPr>
      <w:r/>
      <w:bookmarkStart w:id="218" w:name="_Toc18141"/>
      <w:r>
        <w:rPr>
          <w:rFonts w:hint="eastAsia" w:cs="Times New Roman"/>
          <w:b/>
          <w:color w:val="000000" w:themeColor="text1"/>
          <w:highlight w:val="none"/>
          <w14:textFill>
            <w14:solidFill>
              <w14:schemeClr w14:val="tx1"/>
            </w14:solidFill>
          </w14:textFill>
        </w:rPr>
        <w:t xml:space="preserve">九、政策功能落实</w:t>
      </w:r>
      <w:bookmarkEnd w:id="218"/>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38.促进中小企业发展</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38.1 本项目服务由中小企业承接的，投标供应商享受中小企业扶持政策。</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38.3 中小企业参加政府采购活动，应当出具《中小企业声明函》，否则不享受相关中小企业支持政策。</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38.4 以联合体形式参加政府采购活动，联合体各方均为中小企业的，联合体视同中小企业。其中，联合体各方均为小微企业的，联合体视同小微企业。</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1142"/>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38.6 残疾人福利性单位视同小型、微型企业。按照《关于促进残疾人就业政府采购政策的通知》（财库〔2017〕141号）规定，残疾人福利单位需提供《残疾人福利性单位声明函》。</w:t>
      </w:r>
      <w:r/>
    </w:p>
    <w:p>
      <w:pPr>
        <w:pStyle w:val="723"/>
        <w:spacing w:after="145"/>
        <w:rPr>
          <w:color w:val="000000" w:themeColor="text1"/>
          <w:highlight w:val="none"/>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bookmarkEnd w:id="81"/>
      <w:r/>
      <w:bookmarkEnd w:id="82"/>
      <w:r/>
      <w:bookmarkEnd w:id="83"/>
      <w:r/>
      <w:bookmarkEnd w:id="84"/>
      <w:r/>
      <w:bookmarkEnd w:id="85"/>
      <w:r/>
      <w:bookmarkStart w:id="219" w:name="_Toc31023"/>
      <w:r/>
      <w:bookmarkStart w:id="220" w:name="_Toc20823315"/>
      <w:r/>
      <w:bookmarkStart w:id="221" w:name="_Toc513029243"/>
      <w:r/>
      <w:bookmarkStart w:id="222" w:name="_Toc16938559"/>
      <w:r>
        <w:rPr>
          <w:rFonts w:hint="eastAsia"/>
          <w:color w:val="000000" w:themeColor="text1"/>
          <w:highlight w:val="none"/>
          <w14:textFill>
            <w14:solidFill>
              <w14:schemeClr w14:val="tx1"/>
            </w14:solidFill>
          </w14:textFill>
        </w:rPr>
        <w:t xml:space="preserve">第三章  合同文本</w:t>
      </w:r>
      <w:bookmarkEnd w:id="219"/>
      <w:r/>
      <w:r/>
    </w:p>
    <w:p>
      <w:pPr>
        <w:jc w:val="center"/>
        <w:spacing w:before="145" w:after="145"/>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以下为本项目的合同条款，合同双方不得对招标、投标文件内容作实质性修改。</w:t>
      </w:r>
      <w:r/>
    </w:p>
    <w:p>
      <w:pPr>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jc w:val="center"/>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莫愁湖公园2026年胜棋楼片区展陈</w:t>
      </w:r>
      <w:r/>
    </w:p>
    <w:p>
      <w:pPr>
        <w:jc w:val="center"/>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品质提升项目采购合同</w:t>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660"/>
        <w:jc w:val="left"/>
        <w:rPr>
          <w:color w:val="000000" w:themeColor="text1"/>
          <w:sz w:val="44"/>
          <w:szCs w:val="44"/>
          <w:highlight w:val="none"/>
          <w:u w:val="singl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项目名称：</w:t>
      </w:r>
      <w:r/>
    </w:p>
    <w:p>
      <w:pPr>
        <w:ind w:firstLine="660"/>
        <w:rPr>
          <w:color w:val="000000" w:themeColor="text1"/>
          <w:sz w:val="44"/>
          <w:szCs w:val="44"/>
          <w:highlight w:val="none"/>
          <w:u w:val="singl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采购单位：</w:t>
      </w:r>
      <w:r/>
    </w:p>
    <w:p>
      <w:pPr>
        <w:ind w:firstLine="660"/>
        <w:rPr>
          <w:color w:val="000000" w:themeColor="text1"/>
          <w:sz w:val="44"/>
          <w:szCs w:val="44"/>
          <w:highlight w:val="none"/>
          <w:u w:val="singl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成交单位：</w:t>
      </w:r>
      <w:r/>
    </w:p>
    <w:p>
      <w:pPr>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jc w:val="cente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2640"/>
        <w:rPr>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   </w:t>
      </w:r>
      <w:r/>
    </w:p>
    <w:p>
      <w:pPr>
        <w:ind w:firstLine="2640"/>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2640"/>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rPr>
          <w:color w:val="000000" w:themeColor="text1"/>
          <w:sz w:val="44"/>
          <w:szCs w:val="44"/>
          <w:highlight w:val="none"/>
          <w14:textFill>
            <w14:solidFill>
              <w14:schemeClr w14:val="tx1"/>
            </w14:solidFill>
          </w14:textFill>
        </w:rPr>
      </w:pPr>
      <w:r>
        <w:rPr>
          <w:color w:val="000000" w:themeColor="text1"/>
          <w:sz w:val="44"/>
          <w:szCs w:val="44"/>
          <w:highlight w:val="none"/>
          <w14:textFill>
            <w14:solidFill>
              <w14:schemeClr w14:val="tx1"/>
            </w14:solidFill>
          </w14:textFill>
        </w:rPr>
      </w:r>
      <w:r/>
    </w:p>
    <w:p>
      <w:pPr>
        <w:ind w:firstLine="3740"/>
        <w:rPr>
          <w:color w:val="000000" w:themeColor="text1"/>
          <w:sz w:val="24"/>
          <w:szCs w:val="2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t xml:space="preserve">年  月  日</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clear="all"/>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甲方（</w:t>
      </w:r>
      <w:r>
        <w:rPr>
          <w:rFonts w:hint="eastAsia"/>
          <w:color w:val="000000" w:themeColor="text1"/>
          <w:sz w:val="24"/>
          <w:szCs w:val="24"/>
          <w:highlight w:val="none"/>
          <w14:textFill>
            <w14:solidFill>
              <w14:schemeClr w14:val="tx1"/>
            </w14:solidFill>
          </w14:textFill>
        </w:rPr>
        <w:t xml:space="preserve">采购人</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南京市莫愁湖公园管理处</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乙方（</w:t>
      </w:r>
      <w:r>
        <w:rPr>
          <w:rFonts w:hint="eastAsia"/>
          <w:color w:val="000000" w:themeColor="text1"/>
          <w:sz w:val="24"/>
          <w:szCs w:val="24"/>
          <w:highlight w:val="none"/>
          <w14:textFill>
            <w14:solidFill>
              <w14:schemeClr w14:val="tx1"/>
            </w14:solidFill>
          </w14:textFill>
        </w:rPr>
        <w:t xml:space="preserve">成交方</w:t>
      </w:r>
      <w:r>
        <w:rPr>
          <w:color w:val="000000" w:themeColor="text1"/>
          <w:sz w:val="24"/>
          <w:szCs w:val="24"/>
          <w:highlight w:val="none"/>
          <w14:textFill>
            <w14:solidFill>
              <w14:schemeClr w14:val="tx1"/>
            </w14:solidFill>
          </w14:textFill>
        </w:rPr>
        <w:t xml:space="preserve">）：</w:t>
      </w:r>
      <w:r/>
    </w:p>
    <w:p>
      <w:pPr>
        <w:ind w:firstLine="480"/>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根据《中华人民共和国民法典》等法律法规的规定，甲、乙双方按照招标结果签订本合同。</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一、合同内容</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 标的名称：莫愁湖公园2026年胜棋楼片区展陈品质提升项目</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1.2 标的质量：按招标文件及投标文件执行。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.3 标的数量（规模）：</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.4 履行时间（期限）：按招标文件及投标文件执行。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.5 履行地点：采购人指定地点。</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.6 履行方式：按招标文件及投标文件执行。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.7 包装方式：按招标文件及投标文件执行。</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二、合同金额</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2.1 </w:t>
      </w:r>
      <w:r>
        <w:rPr>
          <w:rFonts w:hint="eastAsia" w:cs="Courier New" w:asciiTheme="minorEastAsia" w:hAnsiTheme="minorEastAsia"/>
          <w:color w:val="000000" w:themeColor="text1"/>
          <w:sz w:val="24"/>
          <w:szCs w:val="24"/>
          <w:highlight w:val="none"/>
          <w14:textFill>
            <w14:solidFill>
              <w14:schemeClr w14:val="tx1"/>
            </w14:solidFill>
          </w14:textFill>
        </w:rPr>
        <w:t xml:space="preserve">本合同金额为（大写）：</w:t>
      </w:r>
      <w:bookmarkStart w:id="223" w:name="OLE_LINK40"/>
      <w:r/>
      <w:bookmarkStart w:id="224" w:name="OLE_LINK34"/>
      <w:r>
        <w:rPr>
          <w:rFonts w:hint="eastAsia" w:cs="Courier New" w:asciiTheme="minorEastAsia" w:hAnsiTheme="minorEastAsia"/>
          <w:color w:val="000000" w:themeColor="text1"/>
          <w:sz w:val="24"/>
          <w:szCs w:val="24"/>
          <w:highlight w:val="none"/>
          <w14:textFill>
            <w14:solidFill>
              <w14:schemeClr w14:val="tx1"/>
            </w14:solidFill>
          </w14:textFill>
        </w:rPr>
        <w:t xml:space="preserve">_____________</w:t>
      </w:r>
      <w:bookmarkEnd w:id="223"/>
      <w:r/>
      <w:bookmarkEnd w:id="224"/>
      <w:r>
        <w:rPr>
          <w:rFonts w:hint="eastAsia" w:cs="Courier New" w:asciiTheme="minorEastAsia" w:hAnsiTheme="minorEastAsia"/>
          <w:color w:val="000000" w:themeColor="text1"/>
          <w:sz w:val="24"/>
          <w:szCs w:val="24"/>
          <w:highlight w:val="none"/>
          <w14:textFill>
            <w14:solidFill>
              <w14:schemeClr w14:val="tx1"/>
            </w14:solidFill>
          </w14:textFill>
        </w:rPr>
        <w:t xml:space="preserve">（___________元）人民币。</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bookmarkStart w:id="225" w:name="OLE_LINK218"/>
      <w:r/>
      <w:bookmarkStart w:id="226" w:name="OLE_LINK219"/>
      <w:r>
        <w:rPr>
          <w:rFonts w:hint="eastAsia" w:cs="Courier New" w:asciiTheme="minorEastAsia" w:hAnsiTheme="minorEastAsia"/>
          <w:color w:val="000000" w:themeColor="text1"/>
          <w:sz w:val="24"/>
          <w:szCs w:val="24"/>
          <w:highlight w:val="none"/>
          <w14:textFill>
            <w14:solidFill>
              <w14:schemeClr w14:val="tx1"/>
            </w14:solidFill>
          </w14:textFill>
        </w:rPr>
        <w:t xml:space="preserve">本合同价款是完成本项目所发生的</w:t>
      </w:r>
      <w:r>
        <w:rPr>
          <w:rFonts w:hint="eastAsia" w:cs="宋体" w:asciiTheme="minorEastAsia" w:hAnsiTheme="minorEastAsia"/>
          <w:color w:val="000000" w:themeColor="text1"/>
          <w:spacing w:val="8"/>
          <w:sz w:val="24"/>
          <w:szCs w:val="24"/>
          <w:highlight w:val="none"/>
          <w14:textFill>
            <w14:solidFill>
              <w14:schemeClr w14:val="tx1"/>
            </w14:solidFill>
          </w14:textFill>
        </w:rPr>
        <w:t xml:space="preserve">包括但不限于所需的人员工资、材料费、机械费、设计、排版、制作、安装、保险、管理费、配套费用、交通、利润、税金等所有本项目所需的一切费用政策性文件规定及合同包含的所有风险、责任等完成本项目的各项应有费用。</w:t>
      </w:r>
      <w:bookmarkEnd w:id="225"/>
      <w:r/>
      <w:bookmarkEnd w:id="226"/>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本合同形式为固定单价合同，执行期间合同单价不变，结算时工作量按实调整。</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三、技术资料</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3</w:t>
      </w:r>
      <w:r>
        <w:rPr>
          <w:rFonts w:hint="eastAsia" w:cs="Courier New" w:asciiTheme="minorEastAsia" w:hAnsiTheme="minorEastAsia"/>
          <w:color w:val="000000" w:themeColor="text1"/>
          <w:sz w:val="24"/>
          <w:szCs w:val="24"/>
          <w:highlight w:val="none"/>
          <w14:textFill>
            <w14:solidFill>
              <w14:schemeClr w14:val="tx1"/>
            </w14:solidFill>
          </w14:textFill>
        </w:rPr>
        <w:t xml:space="preserve">.1 乙方应按招标文件规定的时间向甲方提供货物、服务的有关技术资料。</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3</w:t>
      </w:r>
      <w:r>
        <w:rPr>
          <w:rFonts w:hint="eastAsia" w:cs="Courier New" w:asciiTheme="minorEastAsia" w:hAnsiTheme="minorEastAsia"/>
          <w:color w:val="000000" w:themeColor="text1"/>
          <w:sz w:val="24"/>
          <w:szCs w:val="24"/>
          <w:highlight w:val="none"/>
          <w14:textFill>
            <w14:solidFill>
              <w14:schemeClr w14:val="tx1"/>
            </w14:solidFill>
          </w14:textFill>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四、知识产权</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4.1 乙方应保证甲方在使用、接受本合同货物、服务或其任何一部分时不受第三方提出侵犯其专利权、著作权、商标权、工业设计权、商业秘密等知识产权的起诉。一旦出现侵权，由乙方负全部责任。</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五、产权担保</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5.1 乙方保证所交付的货物（包含与货物相关的服务）的所有权完全属于乙方且无任何抵押、查封等产权瑕疵。</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六、履约保证金</w:t>
      </w:r>
      <w:r/>
    </w:p>
    <w:p>
      <w:pPr>
        <w:pStyle w:val="744"/>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6.1是否</w:t>
      </w:r>
      <w:r>
        <w:rPr>
          <w:color w:val="000000" w:themeColor="text1"/>
          <w:sz w:val="24"/>
          <w:szCs w:val="24"/>
          <w:highlight w:val="none"/>
          <w14:textFill>
            <w14:solidFill>
              <w14:schemeClr w14:val="tx1"/>
            </w14:solidFill>
          </w14:textFill>
        </w:rPr>
        <w:t xml:space="preserve">收取履约保证金：</w:t>
      </w:r>
      <w:r>
        <w:rPr>
          <w:rFonts w:hint="eastAsia"/>
          <w:color w:val="000000" w:themeColor="text1"/>
          <w:sz w:val="24"/>
          <w:szCs w:val="24"/>
          <w:highlight w:val="none"/>
          <w14:textFill>
            <w14:solidFill>
              <w14:schemeClr w14:val="tx1"/>
            </w14:solidFill>
          </w14:textFill>
        </w:rPr>
        <w:t xml:space="preserve">是；</w:t>
      </w:r>
      <w:r/>
    </w:p>
    <w:p>
      <w:pPr>
        <w:pStyle w:val="744"/>
        <w:ind w:firstLine="480"/>
        <w:spacing w:line="40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6.2</w:t>
      </w:r>
      <w:r>
        <w:rPr>
          <w:color w:val="000000" w:themeColor="text1"/>
          <w:sz w:val="24"/>
          <w:szCs w:val="24"/>
          <w:highlight w:val="none"/>
          <w14:textFill>
            <w14:solidFill>
              <w14:schemeClr w14:val="tx1"/>
            </w14:solidFill>
          </w14:textFill>
        </w:rPr>
        <w:t xml:space="preserve">履约保证金金额：合同金额的</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 xml:space="preserve">5</w:t>
      </w:r>
      <w:r>
        <w:rPr>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u w:val="single"/>
          <w14:textFill>
            <w14:solidFill>
              <w14:schemeClr w14:val="tx1"/>
            </w14:solidFill>
          </w14:textFill>
        </w:rPr>
        <w:t xml:space="preserve">；</w:t>
      </w:r>
      <w:r/>
    </w:p>
    <w:p>
      <w:pPr>
        <w:pStyle w:val="744"/>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6.3履约保证金形式：电汇、网银转账；</w:t>
      </w:r>
      <w:r/>
    </w:p>
    <w:p>
      <w:pPr>
        <w:pStyle w:val="744"/>
        <w:ind w:firstLine="480"/>
        <w:spacing w:line="400" w:lineRule="exact"/>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6.4履约保证金退还的时间：履约保证金在本项目决算</w:t>
      </w:r>
      <w:r>
        <w:rPr>
          <w:color w:val="000000" w:themeColor="text1"/>
          <w:sz w:val="24"/>
          <w:szCs w:val="24"/>
          <w:highlight w:val="none"/>
          <w14:textFill>
            <w14:solidFill>
              <w14:schemeClr w14:val="tx1"/>
            </w14:solidFill>
          </w14:textFill>
        </w:rPr>
        <w:t xml:space="preserve">审核后</w:t>
      </w:r>
      <w:r>
        <w:rPr>
          <w:rFonts w:hint="eastAsia"/>
          <w:color w:val="000000" w:themeColor="text1"/>
          <w:sz w:val="24"/>
          <w:szCs w:val="24"/>
          <w:highlight w:val="none"/>
          <w14:textFill>
            <w14:solidFill>
              <w14:schemeClr w14:val="tx1"/>
            </w14:solidFill>
          </w14:textFill>
        </w:rPr>
        <w:t xml:space="preserve">10个工作日内无息全</w:t>
      </w:r>
      <w:r>
        <w:rPr>
          <w:color w:val="000000" w:themeColor="text1"/>
          <w:sz w:val="24"/>
          <w:szCs w:val="24"/>
          <w:highlight w:val="none"/>
          <w:u w:val="single"/>
          <w14:textFill>
            <w14:solidFill>
              <w14:schemeClr w14:val="tx1"/>
            </w14:solidFill>
          </w14:textFill>
        </w:rPr>
        <w:t xml:space="preserve">额退还至</w:t>
      </w:r>
      <w:r>
        <w:rPr>
          <w:rFonts w:hint="eastAsia"/>
          <w:color w:val="000000" w:themeColor="text1"/>
          <w:sz w:val="24"/>
          <w:szCs w:val="24"/>
          <w:highlight w:val="none"/>
          <w:u w:val="single"/>
          <w14:textFill>
            <w14:solidFill>
              <w14:schemeClr w14:val="tx1"/>
            </w14:solidFill>
          </w14:textFill>
        </w:rPr>
        <w:t xml:space="preserve">乙方</w:t>
      </w:r>
      <w:r>
        <w:rPr>
          <w:color w:val="000000" w:themeColor="text1"/>
          <w:sz w:val="24"/>
          <w:szCs w:val="24"/>
          <w:highlight w:val="none"/>
          <w:u w:val="single"/>
          <w14:textFill>
            <w14:solidFill>
              <w14:schemeClr w14:val="tx1"/>
            </w14:solidFill>
          </w14:textFill>
        </w:rPr>
        <w:t xml:space="preserve">缴款账户。</w:t>
      </w:r>
      <w:r/>
    </w:p>
    <w:p>
      <w:pPr>
        <w:pStyle w:val="744"/>
        <w:ind w:firstLine="482"/>
        <w:spacing w:line="400" w:lineRule="exact"/>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七、合同转包或分包</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7.1 乙方不得将合同标的转包给他人履行。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7.2 除经甲方同意，乙方不得将合同标的分包给他人履行。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7.3 乙方如有转包或未经甲方同意的分包行为，甲方有权终止合同。</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八、合同款项支付</w:t>
      </w:r>
      <w:r/>
    </w:p>
    <w:p>
      <w:pPr>
        <w:pStyle w:val="1012"/>
        <w:ind w:firstLine="480"/>
        <w:spacing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8.1 合同款项的支付方式及时间</w:t>
      </w:r>
      <w:r/>
    </w:p>
    <w:p>
      <w:pPr>
        <w:pStyle w:val="756"/>
        <w:ind w:firstLine="480"/>
        <w:spacing w:line="360" w:lineRule="auto"/>
        <w:rPr>
          <w:rFonts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8.1.1 合同正式签订后20个工作日内，甲方支付至服务方合同总价款的30%。</w:t>
      </w:r>
      <w:r/>
    </w:p>
    <w:p>
      <w:pPr>
        <w:pStyle w:val="756"/>
        <w:ind w:firstLine="480"/>
        <w:spacing w:line="360" w:lineRule="auto"/>
        <w:rPr>
          <w:rFonts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8.1.2 项目完成且竣工验收合格,支付至审定价的70%；</w:t>
      </w:r>
      <w:r/>
    </w:p>
    <w:p>
      <w:pPr>
        <w:pStyle w:val="756"/>
        <w:ind w:firstLine="480"/>
        <w:spacing w:line="360" w:lineRule="auto"/>
        <w:rPr>
          <w:rFonts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8.1.3 决算审核完成后支付至审定价的97%。</w:t>
      </w:r>
      <w:r/>
    </w:p>
    <w:p>
      <w:pPr>
        <w:pStyle w:val="756"/>
        <w:ind w:firstLine="480"/>
        <w:spacing w:line="360" w:lineRule="auto"/>
        <w:rPr>
          <w:rFonts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8.1.4 余款3%作为质保金，待质保期（3年）满后一次性无息付清。</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九、税费</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9.</w:t>
      </w:r>
      <w:r>
        <w:rPr>
          <w:rFonts w:cs="Courier New" w:asciiTheme="minorEastAsia" w:hAnsiTheme="minorEastAsia"/>
          <w:color w:val="000000" w:themeColor="text1"/>
          <w:sz w:val="24"/>
          <w:szCs w:val="24"/>
          <w:highlight w:val="none"/>
          <w14:textFill>
            <w14:solidFill>
              <w14:schemeClr w14:val="tx1"/>
            </w14:solidFill>
          </w14:textFill>
        </w:rPr>
        <w:t xml:space="preserve">1</w:t>
      </w:r>
      <w:r>
        <w:rPr>
          <w:rFonts w:hint="eastAsia" w:cs="Courier New" w:asciiTheme="minorEastAsia" w:hAnsiTheme="minorEastAsia"/>
          <w:color w:val="000000" w:themeColor="text1"/>
          <w:sz w:val="24"/>
          <w:szCs w:val="24"/>
          <w:highlight w:val="none"/>
          <w14:textFill>
            <w14:solidFill>
              <w14:schemeClr w14:val="tx1"/>
            </w14:solidFill>
          </w14:textFill>
        </w:rPr>
        <w:t xml:space="preserve">本合同执行中的相关税费均由乙方负担。甲</w:t>
      </w:r>
      <w:r>
        <w:rPr>
          <w:rFonts w:cs="Courier New" w:asciiTheme="minorEastAsia" w:hAnsiTheme="minorEastAsia"/>
          <w:color w:val="000000" w:themeColor="text1"/>
          <w:sz w:val="24"/>
          <w:szCs w:val="24"/>
          <w:highlight w:val="none"/>
          <w14:textFill>
            <w14:solidFill>
              <w14:schemeClr w14:val="tx1"/>
            </w14:solidFill>
          </w14:textFill>
        </w:rPr>
        <w:t xml:space="preserve">方</w:t>
      </w:r>
      <w:r>
        <w:rPr>
          <w:rFonts w:hint="eastAsia" w:cs="Courier New" w:asciiTheme="minorEastAsia" w:hAnsiTheme="minorEastAsia"/>
          <w:color w:val="000000" w:themeColor="text1"/>
          <w:sz w:val="24"/>
          <w:szCs w:val="24"/>
          <w:highlight w:val="none"/>
          <w14:textFill>
            <w14:solidFill>
              <w14:schemeClr w14:val="tx1"/>
            </w14:solidFill>
          </w14:textFill>
        </w:rPr>
        <w:t xml:space="preserve">每次付款前，乙方必须开具合法有效等额增值税专用发票，否则甲方有权拒绝付款，且不承担违约责任。</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十、施工要求</w:t>
      </w:r>
      <w:r>
        <w:rPr>
          <w:rFonts w:cs="方正黑体_GBK" w:asciiTheme="minorEastAsia" w:hAnsiTheme="minorEastAsia"/>
          <w:b/>
          <w:bCs/>
          <w:color w:val="000000" w:themeColor="text1"/>
          <w:sz w:val="24"/>
          <w:szCs w:val="24"/>
          <w:highlight w:val="none"/>
          <w14:textFill>
            <w14:solidFill>
              <w14:schemeClr w14:val="tx1"/>
            </w14:solidFill>
          </w14:textFill>
        </w:rPr>
        <w:t xml:space="preserve">、</w:t>
      </w: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质量保修范围和保修期及售后服务</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10.1乙方不得在作业现场吸烟、携带火种，严禁任何易诱发火灾的危险行为；如违反本要求引发火情、安全事故及经济损失，相应全部法律责任、经济赔偿责任均由乙方承担。</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10.2施工期间发生的水费、电费由乙方自行承担。乙方进场施工后，应独立装计量表</w:t>
      </w:r>
      <w:r>
        <w:rPr>
          <w:rFonts w:hint="eastAsia" w:cs="Courier New" w:asciiTheme="minorEastAsia" w:hAnsiTheme="minorEastAsia"/>
          <w:color w:val="000000" w:themeColor="text1"/>
          <w:sz w:val="24"/>
          <w:szCs w:val="24"/>
          <w:highlight w:val="none"/>
          <w:lang w:val="en-US" w:eastAsia="zh-CN"/>
          <w14:textFill>
            <w14:solidFill>
              <w14:schemeClr w14:val="tx1"/>
            </w14:solidFill>
          </w14:textFill>
        </w:rPr>
        <w:t xml:space="preserve">进行</w:t>
      </w:r>
      <w:r>
        <w:rPr>
          <w:rFonts w:hint="eastAsia" w:cs="Courier New" w:asciiTheme="minorEastAsia" w:hAnsiTheme="minorEastAsia"/>
          <w:color w:val="000000" w:themeColor="text1"/>
          <w:sz w:val="24"/>
          <w:szCs w:val="24"/>
          <w:highlight w:val="none"/>
          <w14:textFill>
            <w14:solidFill>
              <w14:schemeClr w14:val="tx1"/>
            </w14:solidFill>
          </w14:textFill>
        </w:rPr>
        <w:t xml:space="preserve">计</w:t>
      </w:r>
      <w:r>
        <w:rPr>
          <w:rFonts w:hint="eastAsia" w:cs="Courier New" w:asciiTheme="minorEastAsia" w:hAnsiTheme="minorEastAsia"/>
          <w:color w:val="000000" w:themeColor="text1"/>
          <w:sz w:val="24"/>
          <w:szCs w:val="24"/>
          <w:highlight w:val="none"/>
          <w:lang w:val="en-US" w:eastAsia="zh-CN"/>
          <w14:textFill>
            <w14:solidFill>
              <w14:schemeClr w14:val="tx1"/>
            </w14:solidFill>
          </w14:textFill>
        </w:rPr>
        <w:t xml:space="preserve">量</w:t>
      </w:r>
      <w:r>
        <w:rPr>
          <w:rFonts w:hint="eastAsia" w:cs="Courier New" w:asciiTheme="minorEastAsia" w:hAnsiTheme="minorEastAsia"/>
          <w:color w:val="000000" w:themeColor="text1"/>
          <w:sz w:val="24"/>
          <w:szCs w:val="24"/>
          <w:highlight w:val="none"/>
          <w14:textFill>
            <w14:solidFill>
              <w14:schemeClr w14:val="tx1"/>
            </w14:solidFill>
          </w14:textFill>
        </w:rPr>
        <w:t xml:space="preserve">，单独计量用水用电量。</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10.3施工全过程中，乙方对其派驻现场人员人身安全、自有设备及财产承担全部安全管理责任，相关安全事故、财产损失风险由乙方自行承担</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10.4乙方在施工全过程中严格遵守《中华人民共和国文物保护法》，不得破坏文物建筑本体，并做好文物建筑内成品保护。如有损坏，乙方将承担赔偿责任和法律责任。</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10.5 乙方应按招标文件规定的货物性能、技术要求、质量标准向甲方提供未经使用的全新产品。</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10.6 乙方提供的货物在质保期内因货物本身的质量问题发生故障，乙方应负责免费更换。对达不到技术要求者，根据实际情况，经双方协商可按以下方式处理：</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10.6.1 更换：由乙方承担所发生的全部费用。</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10.6.2 退货处理：乙方应退还甲方支付的合同款，同时应承担该货物的直接费用（运输、保险、检验、货款利息及银行手续费等）。</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10.7如在使用过程中发生质量问题，乙方应在接到甲方通知后 8 小时内到达甲方现场。</w:t>
      </w:r>
      <w:r/>
    </w:p>
    <w:p>
      <w:pPr>
        <w:ind w:firstLine="480"/>
        <w:spacing w:line="360" w:lineRule="auto"/>
        <w:rPr>
          <w:rFonts w:hint="eastAsia"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10.8 质保期内，乙方应对货物出现的质量及安全问题负责处理解决并承担一切费用。</w:t>
      </w:r>
      <w:r/>
    </w:p>
    <w:p>
      <w:pPr>
        <w:ind w:firstLine="480"/>
        <w:spacing w:line="360" w:lineRule="auto"/>
        <w:rPr>
          <w:rFonts w:hint="eastAsia" w:cs="宋体" w:asciiTheme="minorEastAsia" w:hAnsiTheme="minorEastAsia"/>
          <w:color w:val="000000" w:themeColor="text1"/>
          <w:spacing w:val="8"/>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10.9本项目整体提供至少3年质量保证服务，故障和非人为损坏货物免费更换，对项目出现的质量问题及时进行维修和处理。质量保证期自本项目通过竣工验收之日起计算（当原厂标配质保期大于整体项目质保期时，按原厂标配质保期服务条款执行）。乙方负责本次招标内容的安装调试，以达到项目应具有的功能和技术指标，并负责相关技术支持和维护。超过质保期的乙方负责终生维修，维修时只收取部件成本费。</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十一、项目验收</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11.1 甲方依法组织履约验收工作。</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11.3 如有必要，甲方可邀请第三方专业机构及专家参与验收，相关意见将作为验收结论的参考。</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11.4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11.5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十二、货物的包装、发运及运输</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cs="Courier New" w:asciiTheme="minorEastAsia" w:hAnsiTheme="minorEastAsia"/>
          <w:color w:val="000000" w:themeColor="text1"/>
          <w:sz w:val="24"/>
          <w:szCs w:val="24"/>
          <w:highlight w:val="none"/>
          <w14:textFill>
            <w14:solidFill>
              <w14:schemeClr w14:val="tx1"/>
            </w14:solidFill>
          </w14:textFill>
        </w:rPr>
        <w:t xml:space="preserve">12.</w:t>
      </w:r>
      <w:r>
        <w:rPr>
          <w:rFonts w:hint="eastAsia" w:cs="Courier New" w:asciiTheme="minorEastAsia" w:hAnsiTheme="minorEastAsia"/>
          <w:color w:val="000000" w:themeColor="text1"/>
          <w:sz w:val="24"/>
          <w:szCs w:val="24"/>
          <w:highlight w:val="none"/>
          <w14:textFill>
            <w14:solidFill>
              <w14:schemeClr w14:val="tx1"/>
            </w14:solidFill>
          </w14:textFill>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12.2 使用说明书、质量检验证明书、随配附件和工具以及清单一并附于货物内。</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12.3 乙方在货物发运手续办理完毕后24小时内或货到甲方48小时前通知甲方，以准备接货。</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12.4 货物在交付甲方前发生的风险均由乙方负责。</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12.5 货物在规定的交付期限内由乙方送达甲方指定的地点且经甲方和委托的监理单位验收合格视为交付。</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十三、违约责任</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13.1 甲方无正当理由拒收货物的，应向乙方偿付拒收货物价款</w:t>
      </w:r>
      <w:r>
        <w:rPr>
          <w:rFonts w:hint="eastAsia" w:cs="Courier New" w:asciiTheme="minorEastAsia" w:hAnsiTheme="minorEastAsia"/>
          <w:color w:val="000000" w:themeColor="text1"/>
          <w:sz w:val="24"/>
          <w:szCs w:val="24"/>
          <w:highlight w:val="none"/>
          <w:u w:val="single"/>
          <w14:textFill>
            <w14:solidFill>
              <w14:schemeClr w14:val="tx1"/>
            </w14:solidFill>
          </w14:textFill>
        </w:rPr>
        <w:t xml:space="preserve"> 2%  </w:t>
      </w:r>
      <w:r>
        <w:rPr>
          <w:rFonts w:hint="eastAsia" w:cs="Courier New" w:asciiTheme="minorEastAsia" w:hAnsiTheme="minorEastAsia"/>
          <w:color w:val="000000" w:themeColor="text1"/>
          <w:sz w:val="24"/>
          <w:szCs w:val="24"/>
          <w:highlight w:val="none"/>
          <w14:textFill>
            <w14:solidFill>
              <w14:schemeClr w14:val="tx1"/>
            </w14:solidFill>
          </w14:textFill>
        </w:rPr>
        <w:t xml:space="preserve">的违约金。</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13.2 甲方无故逾期验收和办理合同款支付手续的，应按</w:t>
      </w:r>
      <w:bookmarkStart w:id="227" w:name="OLE_LINK195"/>
      <w:r>
        <w:rPr>
          <w:rFonts w:hint="eastAsia" w:cs="Courier New" w:asciiTheme="minorEastAsia" w:hAnsiTheme="minorEastAsia"/>
          <w:color w:val="000000" w:themeColor="text1"/>
          <w:sz w:val="24"/>
          <w:szCs w:val="24"/>
          <w:highlight w:val="none"/>
          <w14:textFill>
            <w14:solidFill>
              <w14:schemeClr w14:val="tx1"/>
            </w14:solidFill>
          </w14:textFill>
        </w:rPr>
        <w:t xml:space="preserve">逾期付款</w:t>
      </w:r>
      <w:bookmarkEnd w:id="227"/>
      <w:r>
        <w:rPr>
          <w:rFonts w:hint="eastAsia" w:cs="Courier New" w:asciiTheme="minorEastAsia" w:hAnsiTheme="minorEastAsia"/>
          <w:color w:val="000000" w:themeColor="text1"/>
          <w:sz w:val="24"/>
          <w:szCs w:val="24"/>
          <w:highlight w:val="none"/>
          <w14:textFill>
            <w14:solidFill>
              <w14:schemeClr w14:val="tx1"/>
            </w14:solidFill>
          </w14:textFill>
        </w:rPr>
        <w:t xml:space="preserve">总额每日</w:t>
      </w:r>
      <w:r>
        <w:rPr>
          <w:rFonts w:hint="eastAsia" w:cs="Courier New" w:asciiTheme="minorEastAsia" w:hAnsiTheme="minorEastAsia"/>
          <w:color w:val="000000" w:themeColor="text1"/>
          <w:sz w:val="24"/>
          <w:szCs w:val="24"/>
          <w:highlight w:val="none"/>
          <w:u w:val="single"/>
          <w14:textFill>
            <w14:solidFill>
              <w14:schemeClr w14:val="tx1"/>
            </w14:solidFill>
          </w14:textFill>
        </w:rPr>
        <w:t xml:space="preserve"> 万分之四 </w:t>
      </w:r>
      <w:r>
        <w:rPr>
          <w:rFonts w:hint="eastAsia" w:cs="Courier New" w:asciiTheme="minorEastAsia" w:hAnsiTheme="minorEastAsia"/>
          <w:color w:val="000000" w:themeColor="text1"/>
          <w:sz w:val="24"/>
          <w:szCs w:val="24"/>
          <w:highlight w:val="none"/>
          <w14:textFill>
            <w14:solidFill>
              <w14:schemeClr w14:val="tx1"/>
            </w14:solidFill>
          </w14:textFill>
        </w:rPr>
        <w:t xml:space="preserve">向乙方支付违约金。</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13.3 乙方逾期交付的，应按逾期付款总额每日</w:t>
      </w:r>
      <w:r>
        <w:rPr>
          <w:rFonts w:hint="eastAsia" w:cs="Courier New" w:asciiTheme="minorEastAsia" w:hAnsiTheme="minorEastAsia"/>
          <w:color w:val="000000" w:themeColor="text1"/>
          <w:sz w:val="24"/>
          <w:szCs w:val="24"/>
          <w:highlight w:val="none"/>
          <w:u w:val="single"/>
          <w14:textFill>
            <w14:solidFill>
              <w14:schemeClr w14:val="tx1"/>
            </w14:solidFill>
          </w14:textFill>
        </w:rPr>
        <w:t xml:space="preserve"> 万分之四 </w:t>
      </w:r>
      <w:r>
        <w:rPr>
          <w:rFonts w:hint="eastAsia" w:cs="Courier New" w:asciiTheme="minorEastAsia" w:hAnsiTheme="minorEastAsia"/>
          <w:color w:val="000000" w:themeColor="text1"/>
          <w:sz w:val="24"/>
          <w:szCs w:val="24"/>
          <w:highlight w:val="none"/>
          <w14:textFill>
            <w14:solidFill>
              <w14:schemeClr w14:val="tx1"/>
            </w14:solidFill>
          </w14:textFill>
        </w:rPr>
        <w:t xml:space="preserve">向甲方支付违约金，由甲方从待付合同款中扣除。逾期超过约定日期10个工作日不能交付的，甲方可解除本合同。乙方因逾期交付或因其他违约行为导致甲方解除合同的，应向甲方支付合同总价</w:t>
      </w:r>
      <w:r>
        <w:rPr>
          <w:rFonts w:hint="eastAsia" w:cs="Courier New" w:asciiTheme="minorEastAsia" w:hAnsiTheme="minorEastAsia"/>
          <w:color w:val="000000" w:themeColor="text1"/>
          <w:sz w:val="24"/>
          <w:szCs w:val="24"/>
          <w:highlight w:val="none"/>
          <w:u w:val="single"/>
          <w14:textFill>
            <w14:solidFill>
              <w14:schemeClr w14:val="tx1"/>
            </w14:solidFill>
          </w14:textFill>
        </w:rPr>
        <w:t xml:space="preserve"> 5%  </w:t>
      </w:r>
      <w:r>
        <w:rPr>
          <w:rFonts w:hint="eastAsia" w:cs="Courier New" w:asciiTheme="minorEastAsia" w:hAnsiTheme="minorEastAsia"/>
          <w:color w:val="000000" w:themeColor="text1"/>
          <w:sz w:val="24"/>
          <w:szCs w:val="24"/>
          <w:highlight w:val="none"/>
          <w14:textFill>
            <w14:solidFill>
              <w14:schemeClr w14:val="tx1"/>
            </w14:solidFill>
          </w14:textFill>
        </w:rPr>
        <w:t xml:space="preserve">的违约金。 </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13.4 乙方所交付的货物品种、型号、规格、技术参数、质量不符合招标文件规定标准的，甲方有权拒收该货物，乙方愿意更换货物但逾期交货的，按乙方逾期交货处理。乙方拒绝更换货物的，甲方可单方面解除合同。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十四、不可抗力事件处理</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14.1 在合同有效期内，任何一方因不可抗力事件导致不能履行合同，则合同履行期可延长，其延长期与不可抗力影响期相同。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14.2 不可抗力事件发生后，应立即通知对方并寄送有关权威机构出具的证明。</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14.3 不可抗力事件延续120天以上，双方应通过友好协商确定是否继续履行合同。</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十五、解决争议的方法</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15.1 甲乙双方因合同签订、履行而发生的一切争议，应通过友好协商解决。协商不成的由甲方住所地人民法院管辖。</w:t>
      </w:r>
      <w:r/>
    </w:p>
    <w:p>
      <w:pPr>
        <w:ind w:firstLine="482"/>
        <w:spacing w:line="360" w:lineRule="auto"/>
        <w:rPr>
          <w:rFonts w:cs="方正黑体_GBK" w:asciiTheme="minorEastAsia" w:hAnsiTheme="minorEastAsia"/>
          <w:b/>
          <w:bCs/>
          <w:color w:val="000000" w:themeColor="text1"/>
          <w:sz w:val="24"/>
          <w:szCs w:val="24"/>
          <w:highlight w:val="none"/>
          <w14:textFill>
            <w14:solidFill>
              <w14:schemeClr w14:val="tx1"/>
            </w14:solidFill>
          </w14:textFill>
        </w:rPr>
      </w:pPr>
      <w:r>
        <w:rPr>
          <w:rFonts w:hint="eastAsia" w:cs="方正黑体_GBK" w:asciiTheme="minorEastAsia" w:hAnsiTheme="minorEastAsia"/>
          <w:b/>
          <w:bCs/>
          <w:color w:val="000000" w:themeColor="text1"/>
          <w:sz w:val="24"/>
          <w:szCs w:val="24"/>
          <w:highlight w:val="none"/>
          <w14:textFill>
            <w14:solidFill>
              <w14:schemeClr w14:val="tx1"/>
            </w14:solidFill>
          </w14:textFill>
        </w:rPr>
        <w:t xml:space="preserve">十六、合同生效及其它</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16.1 本合同经双方</w:t>
      </w:r>
      <w:r>
        <w:rPr>
          <w:rFonts w:hint="eastAsia" w:cs="Courier New" w:asciiTheme="minorEastAsia" w:hAnsiTheme="minorEastAsia"/>
          <w:color w:val="000000" w:themeColor="text1"/>
          <w:sz w:val="24"/>
          <w:szCs w:val="24"/>
          <w:highlight w:val="none"/>
          <w:lang w:val="en-US" w:eastAsia="zh-CN"/>
          <w14:textFill>
            <w14:solidFill>
              <w14:schemeClr w14:val="tx1"/>
            </w14:solidFill>
          </w14:textFill>
        </w:rPr>
        <w:t xml:space="preserve">法定代表人及授权代表签字并</w:t>
      </w:r>
      <w:r>
        <w:rPr>
          <w:rFonts w:hint="eastAsia" w:cs="Courier New" w:asciiTheme="minorEastAsia" w:hAnsiTheme="minorEastAsia"/>
          <w:color w:val="000000" w:themeColor="text1"/>
          <w:sz w:val="24"/>
          <w:szCs w:val="24"/>
          <w:highlight w:val="none"/>
          <w14:textFill>
            <w14:solidFill>
              <w14:schemeClr w14:val="tx1"/>
            </w14:solidFill>
          </w14:textFill>
        </w:rPr>
        <w:t xml:space="preserve">加盖单位公章后生效。</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16.2 本合同未尽事宜，遵照《中华人民共和国民法典》《中华人民共和国政府采购法》有关条文执行。</w:t>
      </w:r>
      <w:r/>
    </w:p>
    <w:p>
      <w:pPr>
        <w:ind w:firstLine="480"/>
        <w:spacing w:line="360" w:lineRule="auto"/>
        <w:rPr>
          <w:rFonts w:cs="Courier New" w:asciiTheme="minorEastAsia" w:hAnsiTheme="minorEastAsia"/>
          <w:color w:val="000000" w:themeColor="text1"/>
          <w:sz w:val="24"/>
          <w:szCs w:val="24"/>
          <w:highlight w:val="none"/>
          <w14:textFill>
            <w14:solidFill>
              <w14:schemeClr w14:val="tx1"/>
            </w14:solidFill>
          </w14:textFill>
        </w:rPr>
      </w:pPr>
      <w:r>
        <w:rPr>
          <w:rFonts w:hint="eastAsia" w:cs="Courier New" w:asciiTheme="minorEastAsia" w:hAnsiTheme="minorEastAsia"/>
          <w:color w:val="000000" w:themeColor="text1"/>
          <w:sz w:val="24"/>
          <w:szCs w:val="24"/>
          <w:highlight w:val="none"/>
          <w14:textFill>
            <w14:solidFill>
              <w14:schemeClr w14:val="tx1"/>
            </w14:solidFill>
          </w14:textFill>
        </w:rPr>
        <w:t xml:space="preserve">16.3 本合同正本一式两份，具有同等法律效力，甲方、乙方各执一份。</w:t>
      </w:r>
      <w:r/>
    </w:p>
    <w:p>
      <w:pPr>
        <w:pStyle w:val="1012"/>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bookmarkStart w:id="228" w:name="_Hlt16619369"/>
      <w:r/>
      <w:bookmarkEnd w:id="228"/>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012"/>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甲  方：（公章）                       乙  方：（公章） </w:t>
      </w:r>
      <w:r/>
    </w:p>
    <w:p>
      <w:pPr>
        <w:pStyle w:val="1012"/>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地  址：                               地  址： </w:t>
      </w:r>
      <w:r/>
    </w:p>
    <w:p>
      <w:pPr>
        <w:pStyle w:val="1012"/>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法定代表人或授权代表：                 法定代表人或授权代表：</w:t>
      </w:r>
      <w:r/>
    </w:p>
    <w:p>
      <w:pPr>
        <w:pStyle w:val="1012"/>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联系电话：                             联系电话：          </w:t>
      </w:r>
      <w:r/>
    </w:p>
    <w:p>
      <w:pPr>
        <w:pStyle w:val="1012"/>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012"/>
        <w:ind w:firstLine="480"/>
        <w:spacing w:before="120" w:after="120" w:line="360" w:lineRule="auto"/>
        <w:rPr>
          <w:rFonts w:cs="Courier New" w:asciiTheme="minorEastAsia" w:hAnsiTheme="minorEastAsia" w:eastAsiaTheme="minorEastAsia"/>
          <w:color w:val="000000" w:themeColor="text1"/>
          <w:sz w:val="24"/>
          <w:szCs w:val="24"/>
          <w:highlight w:val="none"/>
          <w14:textFill>
            <w14:solidFill>
              <w14:schemeClr w14:val="tx1"/>
            </w14:solidFill>
          </w14:textFill>
        </w:rPr>
      </w:pPr>
      <w:r>
        <w:rPr>
          <w:rFonts w:hint="eastAsia" w:cs="Courier New" w:asciiTheme="minorEastAsia" w:hAnsiTheme="minorEastAsia" w:eastAsiaTheme="minorEastAsia"/>
          <w:color w:val="000000" w:themeColor="text1"/>
          <w:sz w:val="24"/>
          <w:szCs w:val="24"/>
          <w:highlight w:val="none"/>
          <w14:textFill>
            <w14:solidFill>
              <w14:schemeClr w14:val="tx1"/>
            </w14:solidFill>
          </w14:textFill>
        </w:rPr>
        <w:t xml:space="preserve">签订日期：      </w:t>
      </w:r>
      <w:r/>
    </w:p>
    <w:p>
      <w:pPr>
        <w:ind w:firstLine="480"/>
        <w:spacing w:before="145" w:after="145" w:line="360" w:lineRule="auto"/>
        <w:rPr>
          <w:rFonts w:cs="方正小标宋简体" w:asciiTheme="minorEastAsia" w:hAnsiTheme="minorEastAsia"/>
          <w:bCs/>
          <w:color w:val="000000" w:themeColor="text1"/>
          <w:sz w:val="24"/>
          <w:szCs w:val="24"/>
          <w:highlight w:val="none"/>
          <w14:textFill>
            <w14:solidFill>
              <w14:schemeClr w14:val="tx1"/>
            </w14:solidFill>
          </w14:textFill>
        </w:rPr>
        <w:outlineLvl w:val="0"/>
      </w:pPr>
      <w:r>
        <w:rPr>
          <w:rFonts w:cs="方正小标宋简体" w:asciiTheme="minorEastAsia" w:hAnsiTheme="minorEastAsia"/>
          <w:bCs/>
          <w:color w:val="000000" w:themeColor="text1"/>
          <w:sz w:val="24"/>
          <w:szCs w:val="24"/>
          <w:highlight w:val="none"/>
          <w14:textFill>
            <w14:solidFill>
              <w14:schemeClr w14:val="tx1"/>
            </w14:solidFill>
          </w14:textFill>
        </w:rPr>
      </w:r>
      <w:r/>
    </w:p>
    <w:p>
      <w:pPr>
        <w:ind w:firstLine="480"/>
        <w:jc w:val="center"/>
        <w:spacing w:before="145" w:after="145" w:line="360" w:lineRule="auto"/>
        <w:rPr>
          <w:rFonts w:cs="方正小标宋简体" w:asciiTheme="minorEastAsia" w:hAnsiTheme="minorEastAsia"/>
          <w:bCs/>
          <w:color w:val="000000" w:themeColor="text1"/>
          <w:sz w:val="24"/>
          <w:szCs w:val="24"/>
          <w:highlight w:val="none"/>
          <w14:textFill>
            <w14:solidFill>
              <w14:schemeClr w14:val="tx1"/>
            </w14:solidFill>
          </w14:textFill>
        </w:rPr>
        <w:outlineLvl w:val="0"/>
      </w:pPr>
      <w:r>
        <w:rPr>
          <w:rFonts w:hint="eastAsia" w:cs="方正小标宋简体" w:asciiTheme="minorEastAsia" w:hAnsiTheme="minorEastAsia"/>
          <w:bCs/>
          <w:color w:val="000000" w:themeColor="text1"/>
          <w:sz w:val="24"/>
          <w:szCs w:val="24"/>
          <w:highlight w:val="none"/>
          <w14:textFill>
            <w14:solidFill>
              <w14:schemeClr w14:val="tx1"/>
            </w14:solidFill>
          </w14:textFill>
        </w:rPr>
        <w:t xml:space="preserve">《*******合同》补充协议（合同附件）</w:t>
      </w:r>
      <w:r/>
    </w:p>
    <w:p>
      <w:pPr>
        <w:ind w:firstLine="480"/>
        <w:spacing w:line="440" w:lineRule="exact"/>
        <w:rPr>
          <w:color w:val="000000" w:themeColor="text1"/>
          <w:sz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招标文件及合同未约定事项，双方可友好协商签订补充协议。</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bookmarkEnd w:id="220"/>
      <w:bookmarkEnd w:id="221"/>
      <w:bookmarkEnd w:id="222"/>
      <w:r/>
    </w:p>
    <w:p>
      <w:pPr>
        <w:pStyle w:val="756"/>
        <w:spacing w:before="120" w:after="12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p>
      <w:pPr>
        <w:pStyle w:val="756"/>
        <w:ind w:firstLine="5280"/>
        <w:spacing w:before="120" w:after="12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p>
      <w:pPr>
        <w:pStyle w:val="723"/>
        <w:jc w:val="both"/>
        <w:spacing w:after="145"/>
        <w:rPr>
          <w:color w:val="000000" w:themeColor="text1"/>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br w:type="page" w:clear="all"/>
      </w:r>
      <w:bookmarkStart w:id="229" w:name="_Toc8339"/>
      <w:r/>
      <w:r/>
    </w:p>
    <w:p>
      <w:pPr>
        <w:pStyle w:val="723"/>
        <w:spacing w:after="14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w:t>
      </w:r>
      <w:bookmarkEnd w:id="64"/>
      <w:r>
        <w:rPr>
          <w:rFonts w:hint="eastAsia"/>
          <w:color w:val="000000" w:themeColor="text1"/>
          <w:highlight w:val="none"/>
          <w14:textFill>
            <w14:solidFill>
              <w14:schemeClr w14:val="tx1"/>
            </w14:solidFill>
          </w14:textFill>
        </w:rPr>
        <w:t xml:space="preserve">四章  采购需求</w:t>
      </w:r>
      <w:bookmarkEnd w:id="65"/>
      <w:r/>
      <w:bookmarkEnd w:id="66"/>
      <w:r/>
      <w:bookmarkEnd w:id="67"/>
      <w:r/>
      <w:bookmarkEnd w:id="229"/>
      <w:r/>
      <w:r/>
    </w:p>
    <w:p>
      <w:pPr>
        <w:ind w:firstLine="422"/>
        <w:spacing w:line="360" w:lineRule="auto"/>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t xml:space="preserve">一、项目名称</w:t>
      </w:r>
      <w:r/>
    </w:p>
    <w:p>
      <w:pPr>
        <w:ind w:firstLine="422"/>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莫愁湖公园2026年胜棋楼片区展陈品质提升项目</w:t>
      </w:r>
      <w:r/>
    </w:p>
    <w:p>
      <w:pPr>
        <w:ind w:firstLine="422"/>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t xml:space="preserve">二、项目概况</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t xml:space="preserve">（一）项目背景</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南京莫愁湖胜棋楼片区是莫愁湖公园的核心文保区域与文化地标，兼具明代开国功臣历史、江南古典园林艺术与“莫愁女”民间传说的多重内涵。本次展陈品质提升项目，依托建邺区及莫愁湖优质文化资源，通过专家策展服务，深挖莫愁文化、梳理历史脉络、精耕展陈内容、讲好莫愁故事。通过文物保护和专业布展，打破单纯静态陈列、适度增加科技化和智能化系统集成，打造莫愁女数字人物IP，强调数字化场景互动。</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莫愁湖公园胜棋楼片区主要包括华严庵、胜棋楼、郁金堂、苏合厢四座建筑，以及建筑所在的园林和雕塑等附属设施。展览总面积约711平方米（不含园林及水面），其中华严庵约25平方米，为展览序厅。胜棋楼约484平方米，为核心展厅，讲述莫愁故事。郁金堂约148平方米，复原莫愁女生活场景，苏合厢约54平方米，为文创展厅和莫愁邮局。</w:t>
      </w:r>
      <w:r/>
    </w:p>
    <w:p>
      <w:pPr>
        <w:ind w:firstLine="42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项目涵盖现场布展布置、内容制作、网络改造、验收交付、技术交底等配套服务。改造方案须严格遵守文物保护相关规定，建成后面向社会公众开展科普宣传、研学接待、文化宣传，保障展馆长效稳定运营。</w:t>
      </w:r>
      <w:r/>
    </w:p>
    <w:p>
      <w:pPr>
        <w:ind w:firstLine="422"/>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t xml:space="preserve">（二）</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项目采购需求</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项目需围绕莫愁湖文脉故事、水文地理和历史文化，以及朱元璋、徐达、莫愁女等与莫愁湖相关的民间传说等内容布展，具体内容如下：</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（1）景区导览</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实现莫愁湖数字人园区导览功能，需具备定点导览和手机导览两种模式，其中手机导览模式需实现与景区AR互动功能。</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（2）文献柜布置</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展示莫愁湖相关老照片和文献。</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（3）庭院内容布置</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结合胜棋楼庭院现状，布置相关科技装置。</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（4）光影互动沙盘</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结合数字人IP全方位展示莫愁湖从古到今不同时间的景观全貌和历史故事。</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（5）莫愁湖水文地理综合展示</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展陈符合需求的展品和文物，结合老照片、多媒体和数字内容展示莫愁湖老故事。</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（6）莫愁湖人文传说综合展示</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展陈符合需求的展品和文物，结合老照片、多媒体和数字内容展示莫愁湖老故事。</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（7）胜棋楼万岁棋局艺术装置</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改造胜棋楼二楼现有对弈场景，符合棋道，具有艺术美观，综合呈现“万岁棋局”。</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（8）明式厅堂还原</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通过数字技术在胜棋楼二楼还原明式厅堂家具摆放场景。</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（9）复原莫愁女生活场景</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复刻郁金堂“鸳鸯厅”场景，展现古建原始面貌。</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（10）莫愁女画作保护及利用</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采集名家绘制的莫愁女画作，并在郁金堂通过数字化手段活化利用。</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（11）莫愁邮局</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根据邮政相关标准设计制作莫愁湖主题邮局，并可售卖莫愁湖相关展品，同时实现景区导览功能。</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（12）水院莫愁女雕像活化</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结合数字人IP技术，活化莫愁女雕像，实现数字互动。</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（13）莫愁湖公园馆藏文物数据采集</w:t>
      </w:r>
      <w:r/>
    </w:p>
    <w:p>
      <w:pPr>
        <w:ind w:firstLine="42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选取莫愁湖部分代表性文物进行数据采集并研发展示系统。</w:t>
      </w:r>
      <w:r/>
    </w:p>
    <w:p>
      <w:pPr>
        <w:numPr>
          <w:ilvl w:val="0"/>
          <w:numId w:val="0"/>
        </w:numPr>
        <w:ind w:firstLine="422"/>
        <w:spacing w:line="360" w:lineRule="auto"/>
        <w:shd w:val="clear" w:color="ffffff" w:fill="ffffff"/>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sectPr>
          <w:footerReference w:type="default" r:id="rId13"/>
          <w:footerReference w:type="first" r:id="rId14"/>
          <w:footnotePr/>
          <w:endnotePr/>
          <w:type w:val="nextPage"/>
          <w:pgSz w:w="11906" w:h="16838" w:orient="portrait"/>
          <w:pgMar w:top="1440" w:right="1080" w:bottom="1440" w:left="1080" w:header="851" w:footer="907" w:gutter="0"/>
          <w:pgNumType w:start="1"/>
          <w:cols w:num="1" w:sep="0" w:space="720" w:equalWidth="1"/>
          <w:docGrid w:linePitch="360"/>
          <w:titlePg/>
        </w:sectPr>
      </w:pPr>
      <w: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r>
      <w:r/>
    </w:p>
    <w:p>
      <w:pPr>
        <w:numPr>
          <w:ilvl w:val="0"/>
          <w:numId w:val="0"/>
        </w:numPr>
        <w:ind w:firstLine="422"/>
        <w:spacing w:line="360" w:lineRule="auto"/>
        <w:shd w:val="clear" w:color="ffffff" w:fill="ffffff"/>
        <w:rPr>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themeColor="text1"/>
          <w:sz w:val="24"/>
          <w:szCs w:val="22"/>
          <w:highlight w:val="none"/>
          <w:lang w:val="en-US" w:eastAsia="zh-CN" w:bidi="ar-SA"/>
          <w14:textFill>
            <w14:solidFill>
              <w14:schemeClr w14:val="tx1"/>
            </w14:solidFill>
          </w14:textFill>
        </w:rPr>
        <w:t xml:space="preserve">三、</w:t>
      </w:r>
      <w:r>
        <w:rPr>
          <w:rFonts w:cs="宋体" w:asciiTheme="minorEastAsia" w:hAnsiTheme="minorEastAsia" w:eastAsiaTheme="minorEastAsia"/>
          <w:b/>
          <w:color w:val="000000" w:themeColor="text1"/>
          <w:sz w:val="24"/>
          <w:szCs w:val="24"/>
          <w:highlight w:val="none"/>
          <w14:textFill>
            <w14:solidFill>
              <w14:schemeClr w14:val="tx1"/>
            </w14:solidFill>
          </w14:textFill>
        </w:rPr>
        <w:t xml:space="preserve">服务清单</w:t>
      </w:r>
      <w:r/>
    </w:p>
    <w:tbl>
      <w:tblPr>
        <w:tblStyle w:val="733"/>
        <w:tblW w:w="1384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0"/>
        <w:gridCol w:w="2506"/>
        <w:gridCol w:w="10707"/>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r>
      <w:tr>
        <w:trPr>
          <w:trHeight w:val="140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专家策展服务采购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1、策划文案、内容排版：深化到策展大纲一级标题展区名、二级标题展项名、三级标题展示内容，方案落地对接；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2、方案设计：整体方案设计（根据采购需求整体规划设计），方案落地对接；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3、空间设计：设计效果图（平面图、参观流线图、空间效果图），方案落地对接；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4、施工图（平面图、墙体立面图、灯具定位图等），方案落地对接；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5、展面平面排版、材质及大小设计，方案落地对接；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6、整体方案、策划由专家策展顾问</w:t>
            </w:r>
            <w:r/>
          </w:p>
        </w:tc>
      </w:tr>
      <w:tr>
        <w:trPr>
          <w:trHeight w:val="1602"/>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文物保护服务采购</w:t>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胜棋楼、郁金堂、苏合厢为文物建筑，进行施工时采取一系列科学、合理且有效的措施，避免施工活动对周边文物建筑的结构安全、外观风貌以及历史文化价值等造成损害，确保文物建筑能得到妥善保存和延续，采用环保型的施工材料和工艺，减少施工过程中的化学物质排放，建立文物建筑保护应急预案，明确在发生突发情况，如火灾、坍塌等时的应急响应流程和责任分工，对施工人员进行文物保护知识培训，培训内容包括文物建筑的历史价值、保护要求以及施工过程中的注意事项</w:t>
            </w:r>
            <w:r/>
          </w:p>
        </w:tc>
      </w:tr>
      <w:tr>
        <w:trPr>
          <w:trHeight w:val="89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布展服务采购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1、华严庵：</w:t>
            </w:r>
            <w:r>
              <w:rPr>
                <w:rStyle w:val="1315"/>
                <w:color w:val="000000" w:themeColor="text1"/>
                <w:highlight w:val="none"/>
                <w:lang w:val="en-US" w:eastAsia="zh-CN" w:bidi="ar"/>
                <w14:textFill>
                  <w14:solidFill>
                    <w14:schemeClr w14:val="tx1"/>
                  </w14:solidFill>
                </w14:textFill>
              </w:rPr>
              <w:t xml:space="preserve">改装装饰面，新做定制玻璃展柜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2、胜棋楼：</w:t>
            </w:r>
            <w:r>
              <w:rPr>
                <w:rStyle w:val="1315"/>
                <w:color w:val="000000" w:themeColor="text1"/>
                <w:highlight w:val="none"/>
                <w:lang w:val="en-US" w:eastAsia="zh-CN" w:bidi="ar"/>
                <w14:textFill>
                  <w14:solidFill>
                    <w14:schemeClr w14:val="tx1"/>
                  </w14:solidFill>
                </w14:textFill>
              </w:rPr>
              <w:t xml:space="preserve">玻璃展根据设计布局及展品布置新做定制玻璃展柜；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3、苏合厢：邮局展墙花坛及花木调整/新增桌、椅、展品墙改造、新增邮筒；</w:t>
            </w:r>
            <w:r/>
          </w:p>
        </w:tc>
      </w:tr>
      <w:tr>
        <w:trPr>
          <w:trHeight w:val="120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1、华严庵：《莫愁湖志》善本复制件、清代舆图、民国老照片，华严庵建筑功能流变以图文+老照片呈现；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2、华严庵室外：古树名木创意铭牌、导览牌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3、胜棋楼：展品和文物进行复用展示；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4、苏合厢：展示莫愁文化相应的文创产品、更换墙面展示板；</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1、根据展区方案新增点位不限于照明灯具、开关、插座监控；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2、设备集成化调试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3、定制沙盘</w:t>
            </w:r>
            <w:r/>
          </w:p>
        </w:tc>
      </w:tr>
      <w:tr>
        <w:trPr>
          <w:trHeight w:val="1535"/>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0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多媒体影片服务采购</w:t>
            </w:r>
            <w:r/>
          </w:p>
        </w:tc>
        <w:tc>
          <w:tcPr>
            <w:shd w:val="clear" w:color="auto" w:fill="auto"/>
            <w:tcBorders>
              <w:top w:val="single" w:color="000000" w:sz="4" w:space="0"/>
              <w:left w:val="single" w:color="000000" w:sz="4" w:space="0"/>
              <w:bottom w:val="single" w:color="000000" w:sz="4" w:space="0"/>
              <w:right w:val="single" w:color="000000" w:sz="4" w:space="0"/>
            </w:tcBorders>
            <w:tcW w:w="10707"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1、多媒体设备（ AR设备、音箱、主机、中控、平板等）采购安装并调试等设备安装；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2.项目定制数字影片/交互/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3、数字人（莫愁女）依据三维模型AI生成IP形象的莫愁女数字人，对数字人声音、动作、形象进行定制，通过数字人能实现语音交互、导览、文字介绍、线上运营等功能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4、部分文物数字化采集及复原</w:t>
            </w:r>
            <w:r/>
          </w:p>
        </w:tc>
      </w:tr>
    </w:tbl>
    <w:p>
      <w:pPr>
        <w:spacing w:line="360" w:lineRule="auto"/>
        <w:rPr>
          <w:rFonts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r>
      <w:r/>
    </w:p>
    <w:p>
      <w:pPr>
        <w:pStyle w:val="787"/>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r>
      <w:r/>
    </w:p>
    <w:p>
      <w:pPr>
        <w:pStyle w:val="787"/>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（1）关于专家策展服务采购项目的采购清单</w:t>
      </w:r>
      <w:r/>
    </w:p>
    <w:tbl>
      <w:tblPr>
        <w:tblStyle w:val="733"/>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3"/>
        <w:gridCol w:w="2177"/>
        <w:gridCol w:w="9050"/>
        <w:gridCol w:w="963"/>
        <w:gridCol w:w="1022"/>
      </w:tblGrid>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bookmarkStart w:id="230" w:name="_Toc120614281"/>
            <w:r/>
            <w:bookmarkStart w:id="231" w:name="_Toc26554093"/>
            <w:r/>
            <w:bookmarkStart w:id="232" w:name="_Toc49090575"/>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90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r>
      <w:tr>
        <w:trPr>
          <w:trHeight w:val="16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专家策展服务采购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905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1、策划文案、内容排版：深化到策展大纲一级标题展区名、二级标题展项名、三级标题展示内容，方案落地对接；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2、方案设计：整体方案设计（根据采购需求整体规划设计），方案落地对接；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3、空间设计：设计效果图（平面图、参观流线图、空间效果图），方案落地对接；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4、施工图（平面图、立面图、设备定位图等），方案落地对接；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5、展面平面排版、材质及大小设计，方案落地对接；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6、整体方案、策划由专家策展顾问</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740 </w:t>
            </w:r>
            <w:r/>
          </w:p>
        </w:tc>
      </w:tr>
    </w:tbl>
    <w:p>
      <w:pPr>
        <w:spacing w:line="360" w:lineRule="auto"/>
        <w:shd w:val="clear" w:color="ffffff" w:fill="ffffff"/>
        <w:rPr>
          <w:rFonts w:cs="宋体" w:asciiTheme="minorEastAsia" w:hAnsiTheme="minorEastAsia" w:eastAsiaTheme="minorEastAsia"/>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r>
      <w:r/>
    </w:p>
    <w:p>
      <w:pPr>
        <w:ind w:firstLine="281"/>
        <w:spacing w:line="360" w:lineRule="auto"/>
        <w:shd w:val="clear" w:color="ffffff" w:fill="ffffff"/>
        <w:rPr>
          <w:rFonts w:cs="宋体" w:asciiTheme="minorEastAsia" w:hAnsiTheme="minorEastAsia" w:eastAsiaTheme="minorEastAsia"/>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（2）关于莫愁湖文物保护服务类项目的采购清单</w:t>
      </w:r>
      <w:r/>
    </w:p>
    <w:tbl>
      <w:tblPr>
        <w:tblStyle w:val="733"/>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2"/>
        <w:gridCol w:w="1168"/>
        <w:gridCol w:w="10375"/>
        <w:gridCol w:w="963"/>
        <w:gridCol w:w="847"/>
      </w:tblGrid>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r>
      <w:tr>
        <w:trPr>
          <w:trHeight w:val="144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文物保护方案及措施</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胜棋楼、郁金堂、苏合厢为文物建筑，进行施工时采取一系列科学、合理且有效的措施，避免施工活动对周边文物建筑的结构安全、外观风貌以及历史文化价值等造成损害，确保文物建筑能得到妥善保存和延续，采用环保型的施工材料和工艺，减少施工过程中的化学物质排放，建立文物建筑保护应急预案，明确在发生突发情况，如火灾、坍塌等时的应急响应流程和责任分工，对施工人员进行文物保护知识培训，培训内容包括文物建筑的历史价值、保护要求以及施工过程中的注意事项</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地面保护</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原有地面整铺单层纸面9.5mm石膏板对地面进行保护，以及施工结束后拆除以及拆除垃圾外运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740 </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墙面保护</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原有墙面及墙面特别是古建墙体进行保护膜贴面，针对靠近古建墙体的还要做临时喷绘布格挡，以及施工结束后拆除以及拆除垃圾外运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2220 </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顶面保护</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顶面古建屋顶保护，因施工涉及动火作业，古建为木制结构，顶部统一采用防火布吊顶保护，及后面施工结束拆除后的二次垃圾外运</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700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瓷器120件、字画15副定制木盒统一保管存放（存放需进入专业的文保仓库24小时防盗、监控）</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 </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古董家具保护</w:t>
            </w:r>
            <w:r/>
          </w:p>
        </w:tc>
        <w:tc>
          <w:tcPr>
            <w:shd w:val="clear" w:color="auto" w:fill="auto"/>
            <w:tcBorders>
              <w:top w:val="single" w:color="000000" w:sz="4" w:space="0"/>
              <w:left w:val="single" w:color="000000" w:sz="4" w:space="0"/>
              <w:bottom w:val="single" w:color="000000" w:sz="4" w:space="0"/>
              <w:right w:val="single" w:color="000000" w:sz="4" w:space="0"/>
            </w:tcBorders>
            <w:tcW w:w="1037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古董家具纸质箱体套膜保护，保护时注意家具不得有划痕，不得触摸家具，以及施工结束后拆除以及拆除垃圾外运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 </w:t>
            </w:r>
            <w:r/>
          </w:p>
        </w:tc>
      </w:tr>
    </w:tbl>
    <w:p>
      <w:pPr>
        <w:pStyle w:val="725"/>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p>
      <w:pPr>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p>
      <w:pPr>
        <w:ind w:firstLine="281"/>
        <w:keepLines w:val="0"/>
        <w:keepNext w:val="0"/>
        <w:pageBreakBefore w:val="0"/>
        <w:spacing w:line="240" w:lineRule="auto"/>
        <w:shd w:val="clear" w:color="ffffff" w:fill="ffffff"/>
        <w:widowControl w:val="off"/>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（3）关于莫愁湖布展服务类项目的采购清单</w:t>
      </w:r>
      <w:r/>
    </w:p>
    <w:tbl>
      <w:tblPr>
        <w:tblStyle w:val="733"/>
        <w:tblW w:w="138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85"/>
        <w:gridCol w:w="1328"/>
        <w:gridCol w:w="9480"/>
        <w:gridCol w:w="950"/>
        <w:gridCol w:w="925"/>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w:t>
            </w:r>
            <w:r>
              <w:rPr>
                <w:rStyle w:val="1316"/>
                <w:color w:val="000000" w:themeColor="text1"/>
                <w:highlight w:val="none"/>
                <w:lang w:val="en-US" w:eastAsia="zh-CN" w:bidi="ar"/>
                <w14:textFill>
                  <w14:solidFill>
                    <w14:schemeClr w14:val="tx1"/>
                  </w14:solidFill>
                </w14:textFill>
              </w:rPr>
              <w:t xml:space="preserve">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1、原有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w:t>
            </w:r>
            <w:r>
              <w:rPr>
                <w:rStyle w:val="1316"/>
                <w:color w:val="000000" w:themeColor="text1"/>
                <w:highlight w:val="none"/>
                <w:lang w:val="en-US" w:eastAsia="zh-CN" w:bidi="ar"/>
                <w14:textFill>
                  <w14:solidFill>
                    <w14:schemeClr w14:val="tx1"/>
                  </w14:solidFill>
                </w14:textFill>
              </w:rPr>
              <w:t xml:space="preserve">拆除、装裱画拆除清理、旧管线拆除、成品保护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 </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原有落地展柜拆除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华严庵西间落地展柜拆除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w:t>
            </w:r>
            <w:r>
              <w:rPr>
                <w:rStyle w:val="1316"/>
                <w:color w:val="000000" w:themeColor="text1"/>
                <w:highlight w:val="none"/>
                <w:lang w:val="en-US" w:eastAsia="zh-CN" w:bidi="ar"/>
                <w14:textFill>
                  <w14:solidFill>
                    <w14:schemeClr w14:val="tx1"/>
                  </w14:solidFill>
                </w14:textFill>
              </w:rPr>
              <w:t xml:space="preserve">展示柜拆除、展柜设备保护性拆除并交由业主指定地点存放、旧管线拆除、成品保护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r>
      <w:tr>
        <w:trPr>
          <w:trHeight w:val="215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新做展板展示面</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华严庵西间新做</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展板展示面</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1、基层12mm阻燃板；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2、单层9.5mm石膏板面</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3、板面钉眼封点防锈漆</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4、石膏板面缝贴自粘胶带</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5、石膏板面腻子3遍</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6、白色乳胶漆3遍</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7、具体详见图纸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定制造型卷轴</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华严庵西间定制造型卷轴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两侧竖向定制造型卷轴安装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华严庵西间设备包边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原有展示面</w:t>
            </w:r>
            <w:r>
              <w:rPr>
                <w:rStyle w:val="1316"/>
                <w:color w:val="000000" w:themeColor="text1"/>
                <w:highlight w:val="none"/>
                <w:lang w:val="en-US" w:eastAsia="zh-CN" w:bidi="ar"/>
                <w14:textFill>
                  <w14:solidFill>
                    <w14:schemeClr w14:val="tx1"/>
                  </w14:solidFill>
                </w14:textFill>
              </w:rPr>
              <w:t xml:space="preserve">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原有展示面</w:t>
            </w:r>
            <w:r>
              <w:rPr>
                <w:rStyle w:val="1316"/>
                <w:color w:val="000000" w:themeColor="text1"/>
                <w:highlight w:val="none"/>
                <w:lang w:val="en-US" w:eastAsia="zh-CN" w:bidi="ar"/>
                <w14:textFill>
                  <w14:solidFill>
                    <w14:schemeClr w14:val="tx1"/>
                  </w14:solidFill>
                </w14:textFill>
              </w:rPr>
              <w:t xml:space="preserve">、装裱画拆除清理、旧管线拆除、成品保护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 </w:t>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原有落地展柜拆除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华严庵东间右侧落地展柜拆除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w:t>
            </w:r>
            <w:r>
              <w:rPr>
                <w:rStyle w:val="1316"/>
                <w:color w:val="000000" w:themeColor="text1"/>
                <w:highlight w:val="none"/>
                <w:lang w:val="en-US" w:eastAsia="zh-CN" w:bidi="ar"/>
                <w14:textFill>
                  <w14:solidFill>
                    <w14:schemeClr w14:val="tx1"/>
                  </w14:solidFill>
                </w14:textFill>
              </w:rPr>
              <w:t xml:space="preserve">展示柜拆除、展柜内文献整理收集并交由业主指定地点存放、旧管线拆除、成品保护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定制玻璃柜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定制玻璃柜</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1、钢架骨架</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2、基层15mm阻燃板；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3、玻璃柜内部仿石纹路装饰面层</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4、正面定制8mm玻璃3600mm*1900mm钢化超白玻，四周厚度1.2mm古铜不锈钢包边；</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5、柜内顶部开槽引线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6、柜内部预留字画底托</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7、面层：免漆板颜色后期深化</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8、具体详见图纸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 </w:t>
            </w:r>
            <w:r/>
          </w:p>
        </w:tc>
      </w:tr>
      <w:tr>
        <w:trPr>
          <w:trHeight w:val="111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原有沙盘柜拆除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胜棋楼1L沙盘柜拆除4500mm*2900mm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1、沙盘柜破坏性拆除、展柜设备保护性拆除、旧管线拆除、成品保护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3、具体详见图纸PM-01</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新做地柜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胜棋楼1L铝板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地柜</w:t>
            </w:r>
            <w:r>
              <w:rPr>
                <w:rStyle w:val="1316"/>
                <w:color w:val="000000" w:themeColor="text1"/>
                <w:highlight w:val="none"/>
                <w:lang w:val="en-US" w:eastAsia="zh-CN" w:bidi="ar"/>
                <w14:textFill>
                  <w14:solidFill>
                    <w14:schemeClr w14:val="tx1"/>
                  </w14:solidFill>
                </w14:textFill>
              </w:rPr>
              <w:t xml:space="preserve">H200mm</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 </w:t>
            </w:r>
            <w:r>
              <w:rPr>
                <w:rStyle w:val="1317"/>
                <w:rFonts w:eastAsia="宋体"/>
                <w:color w:val="000000" w:themeColor="text1"/>
                <w:highlight w:val="none"/>
                <w:lang w:val="en-US" w:eastAsia="zh-CN" w:bidi="ar"/>
                <w14:textFill>
                  <w14:solidFill>
                    <w14:schemeClr w14:val="tx1"/>
                  </w14:solidFill>
                </w14:textFill>
              </w:rPr>
              <w:t xml:space="preserve">‌</w:t>
            </w:r>
            <w:r>
              <w:rPr>
                <w:rStyle w:val="1316"/>
                <w:color w:val="000000" w:themeColor="text1"/>
                <w:highlight w:val="none"/>
                <w:lang w:val="en-US" w:eastAsia="zh-CN" w:bidi="ar"/>
                <w14:textFill>
                  <w14:solidFill>
                    <w14:schemeClr w14:val="tx1"/>
                  </w14:solidFill>
                </w14:textFill>
              </w:rPr>
              <w:t xml:space="preserve">40×40×2.0mm镀锌方管骨架制作安装</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2、深灰色2.0mm厚铝板包覆</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3、具体做法详见大样图01</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 </w:t>
            </w:r>
            <w:r/>
          </w:p>
        </w:tc>
      </w:tr>
      <w:tr>
        <w:trPr>
          <w:trHeight w:val="200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弧形造型展示面</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胜棋楼1L弧形展示面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1、后侧：钢骨架焊接，面15mm木工板基层钉在龙骨上，9mm奥松板面钉在木龙骨或夹板上 ，做油漆，执行国标或行业标准；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2、左右两侧弧形造型：钢骨架焊接，15mm木工板基层钉在龙骨上，9mm奥松板面钉在木龙骨或夹板上 ，做油漆，执行国标或行业标准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3、工程量按后侧投影面积计算，不扣减暗门亦不增加侧边面积，综合考虑报价</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4、具体做法详见大样图01</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 </w:t>
            </w:r>
            <w:r/>
          </w:p>
        </w:tc>
      </w:tr>
      <w:tr>
        <w:trPr>
          <w:trHeight w:val="837"/>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定制成品沙盘柜体门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胜棋楼1L定制成品沙盘柜体门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定制成品沙盘柜体门2000mm*800mm</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913"/>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钢化玻璃围挡</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胜棋楼1L钢化玻璃围挡高600mm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不锈钢玻璃栏板围挡含支座固定</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 </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胜棋楼1L定制画轴造型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 </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原有玻璃柜拆除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胜棋楼1L玻璃柜拆除7575mm*1090mm*2700mm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1、玻璃柜破坏性拆除、展柜内展品保护性收集统一存放至指定地点、旧管线拆除、成品保护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 </w:t>
            </w:r>
            <w:r/>
          </w:p>
        </w:tc>
      </w:tr>
      <w:tr>
        <w:trPr>
          <w:trHeight w:val="180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造型展示柜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1、中间造型：1500mm*2800mm：新建75轻钢龙骨，竖向间距400,基层12mm阻燃板，单层9.5mm、石膏板面，板面钉眼封点防锈漆，面板缝贴自粘胶带，批腻子3遍，整体打磨，刷基膜，预留灯槽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2、两侧：面贴广告布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3、上部：宽150mm乳胶漆凸墙：基层12mm阻燃板，单层9.5mm、石膏板面，板面钉眼封点防锈漆，板缝贴自粘胶带，板面白色乳胶漆3遍，预留灯槽；750mm宽面</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1、钢架骨架</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2、基层15mm阻燃板；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3、正面定制8mm钢化超白玻璃，四周厚度1.2mm古铜不锈钢包边；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4、柜内顶部开槽引线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5、柜内部预留字画底托</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6、面层：18mm免漆板颜色后期深化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r>
      <w:tr>
        <w:trPr>
          <w:trHeight w:val="91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造型展示面</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胜棋楼1L东间造型展示面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1上部造型：基层12mm阻燃板，单层9.5mm、石膏板面，板面钉眼封点防锈漆，面板缝贴自粘胶带，批腻子3遍，整体打磨，刷基膜，面贴广告布，侧边304黑钛拉丝不锈钢边框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 </w:t>
            </w:r>
            <w:r/>
          </w:p>
        </w:tc>
      </w:tr>
      <w:tr>
        <w:trPr>
          <w:trHeight w:val="667"/>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背侧定制支架造型</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胜棋楼1L东间定制支架造型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多媒体造型制作安装</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 </w:t>
            </w:r>
            <w:r/>
          </w:p>
        </w:tc>
      </w:tr>
      <w:tr>
        <w:trPr>
          <w:trHeight w:val="179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造型设备柜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1、造型：2100mm*2800mm：新建75轻钢龙骨，竖向间距400,基层12mm阻燃板，单层9.5mm、石膏板面，板面钉眼封点防锈漆，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2、乳胶漆造型：新建75轻钢龙骨，竖向间距400,基层12mm阻燃板，单层9.5mm、石膏板面，板面钉眼封点防锈漆，面板缝贴自粘胶带，面白色乳胶漆3遍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3、设备底盒制作：基层12mm阻燃板，侧边304黑钛拉丝不锈钢边框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胜棋楼1L西间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1、钢架骨架</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2、基层15mm阻燃板；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3、正面定制8mm钢化超白玻璃，四周厚度1.2mm古铜不锈钢包边；</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4、柜内顶部开槽引线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5、柜内部预留字画底托</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6、面层：18mm免漆板颜色后期深化</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围挡及地台拆除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胜棋楼2L原有围挡及地台拆除4440mm*2250mm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1、两侧柜子围挡拆除、展柜设备保护性拆除、旧管线拆除、成品保护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新做展示面</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胜棋楼2L棋盘对弈处</w:t>
            </w:r>
            <w:r>
              <w:rPr>
                <w:rStyle w:val="1316"/>
                <w:color w:val="000000" w:themeColor="text1"/>
                <w:highlight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厚度150mm</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1、龙骨撑出造型</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2、基层12mm阻燃板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3、18mm免漆板</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胜棋楼2L棋盘对弈处</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铝板围挡</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胜棋楼2L棋盘对弈处</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1、上下30×40×1.5mm 镀锌管，中间40×40×2.0mm镀锌方管骨架制作安装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2、包覆深灰色厚度2mm铝板造型围挡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3、围挡高1000mm</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 </w:t>
            </w:r>
            <w:r/>
          </w:p>
        </w:tc>
      </w:tr>
      <w:tr>
        <w:trPr>
          <w:trHeight w:val="81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柜子拆除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郁金堂地柜拆除3600mm*500mm*1000mm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 </w:t>
            </w:r>
            <w:r/>
          </w:p>
        </w:tc>
      </w:tr>
      <w:tr>
        <w:trPr>
          <w:trHeight w:val="1123"/>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郁金堂定制画轴造型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1、外框尺寸：宽650mm*长2100mm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2、内置骨架，12mm阻燃板基层，304黑钛拉丝不锈钢包覆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3、定制画轴造型：预留多媒体设备底盒</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r>
      <w:tr>
        <w:trPr>
          <w:trHeight w:val="80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柜子拆除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苏合厢地柜拆除5100mm*500mm*1000mm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1、木质地柜拆除、展柜设备保护性拆除、字画收集统一存放至指定保管处、旧管线拆除、成品保护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展示隔断拆除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苏合厢格栅拆除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1、木质地柜拆除、展柜设备保护性拆除、字画收集统一存放至指定保管处、旧管线拆除、成品保护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 </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造景拆除</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苏合厢花坛造景长3580mm拆除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1、混凝土花坛拆除、花坛假树、花坛土、花坛造景石清理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定制吧台</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苏合厢定制L型吧台宽500mm*高1000mm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1、L型吧台侧面：钢龙骨骨架、阻燃基层板、木纹饰面，正面（内凹造型），定制活动板门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2、台面：80mm高木纹台面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3、吧台广告字体及展板另计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4、具体做法详见大样图03</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r>
      <w:tr>
        <w:trPr>
          <w:trHeight w:val="116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定制矮柜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苏合厢定制矮柜长800*宽600mm*高800mm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1、定制实木矮柜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2、样式及做法详见大样图04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3、样式及颜色与展项融合具体以甲方使用要求为准</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 </w:t>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苏合厢定制展柜长2200*宽500mm*高2650mm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1、柜体板18mm免漆板，内置层板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2、上部做亚克力灯箱，灯箱另算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3、具体做法详见大样图05</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r>
      <w:tr>
        <w:trPr>
          <w:trHeight w:val="110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苏合厢定制展柜长2800*宽500mm*高2650mm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1、柜体板18mm免漆板，内置层板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2、上部做亚克力灯箱，灯箱另算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3、具体做法详见大样图06</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 </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成品桌椅</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1、成品长桌长2400mm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2、配套椅子4把</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展品复刻</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1、展品复刻：《莫愁湖志》善本复制件、清代舆图、民国老照片。</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2、展现形式：华严庵建筑功能流变以图文+老照片呈现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3、复刻图文展品以装入定制的亚克力盒挂面展示及画框装裱挂面展示</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花木铭牌及导引牌</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庭院花木及导引牌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1、花木铭牌：古树名木创意牌制作安装，材质为不锈钢材质，吊挂形式展示。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2、指引导流牌：指引参观流线牌制作安装，材质为铝合金材质，落地形式展示。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3、铭牌及引导牌数量约30个</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538"/>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图文展板</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图文展板更换（内容+展板）</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定制广告布</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定制UV广告布画面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面积按照投影面积计算，不扣除设备及门洞所占面积亦不增加凸出侧边面积</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文物复刻、复用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1、展示品复刻（展示出土文物的展示品复刻展示）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2、文物复用：符合展陈需求的展品和文物进行复用展示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3、文物展示底座及介绍牌制</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487"/>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定制展柜内部广告布</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胜棋楼1楼西间展示面为了展示莫愁湖历史变迁的布置效果，需要定制UV展柜内部广告布，具体工艺如下：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1、面层白色乳胶漆出新3遍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2、具体详见拆除图</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3、面积按照投影面积计算，不扣除设备及门洞所占面积亦不增加凸出侧边面积，</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r>
      <w:tr>
        <w:trPr>
          <w:trHeight w:val="114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定制展柜内部广告布</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胜棋楼1楼东间展面为了展示莫愁湖近代变化的布置效果，需要定制UV定制展柜内部广告布，具体工艺如下：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定制UV定制展柜内部广告布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面积按照投影面积计算，不扣除设备及门洞所占面积亦不增加凸面侧边面积</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 </w:t>
            </w:r>
            <w:r/>
          </w:p>
        </w:tc>
      </w:tr>
      <w:tr>
        <w:trPr>
          <w:trHeight w:val="1168"/>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展品及文物复用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胜棋楼1楼东间及二楼万岁棋局</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1、展品及文物复用：金钗、明朝挂镜、郁金香等展品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2、书籍文献托板、底盒、介绍牌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3、更换万岁棋局朱元璋坐像头像</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苏合厢广告布置</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苏合厢苏合厢广告布置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1、吧台及展柜定制图文展板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2、门头莫愁主题邮局发光字及标识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3、落地图文展板打卡展示装置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4、邮局邮筒布置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5、字体不限于亚克力字体、PVC字体</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6、室内展示区定制顶部垂挂纱幔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7、定制亚克力灯箱</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1、综合布线（配管DN20KBG管、照明配线ZR-BV2.5mm2、插座配线ZR-BV4mm、点位管线、接线盒、面板、开关、插座）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2、仅对现场原有电箱进行改造并新增回路</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647"/>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落地柜机空调</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 匹立式落地柜机；冷暖型，一级能效；含室内外机、遥控器、配套铜管、排水管、保温、电源线、支架；设备安装、调试、开机检测，含基础辅材</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展柜内部筒灯</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功率：12W</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色温：4000K</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显色指数：Ra90以上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灯罩材质：铝合金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55 </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灯带</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展柜内部灯带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铝合金线条灯带</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36 </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前端节点控制器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前端运行状态信息采集、开关机指令中转、计算机电源控制。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通讯接口：RJ45网络接口、RS-232，点对点对接华严庵、胜棋楼F1、胜棋楼西间、胜棋楼东间、胜棋楼F2、鸳鸯厅</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节点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22</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显示端指令控制器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投影机运行状态信息采集、开关机指令中转、电源控制。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通讯接口：RJ45网络接口、RS-232，点对点对接华严庵、胜棋楼F1、胜棋楼西间、胜棋楼东间、胜棋楼F2、鸳鸯厅</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节点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短波定位雷达</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雷达频段24.125GHz FMCW 调频连续波探测区域水平视角 120°，俯仰 60°最大探测距离0.3m ~ 8m定位精度近距离 0.3–4m：±3cm；4–8m：±5%同时追踪目标最多 6 人（可配置 2/4/6 人）坐标输出XY 平面坐标（单位：mm），支持 UART 串口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 UDP 网口刷新率30Hz（可调 10~30Hz）响应延迟≤80ms供电DC12V / 1A功耗≤6W延时保持1~10s 软件可调（人离开后坐标保留时间）灵敏度0~10 级软件可调，过滤微小晃动过滤支持静态背景滤除、小物体过滤（可设置最小目标面积）工作温度-20℃ ~ +60℃防护等级IP54（室内展厅）通讯协议UDP（推荐，直接发 JSON 坐标）/ RS485 串口输出数据示例 UDP`{"num":1,"target":[{"id":1,"x":1250,"y":2600,"valid":1}]}`</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LED图像控制器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1、采用标准 19 英寸金属结构机箱，机箱为后挂耳结构，上盖无螺钉安装:外壳防护等级符合GBIT 4280-2017中IP20的要求;采用纯硬件 FPGA 架构设计、运行稳定、可靠、高效。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2、输入接口至少包括1路HDMI2.0+LOOP,2路HDMI1.3，1路USB3.0，最大可支持4096*2160@60HZ信号输入，支持选配1路3G-SDI（IN+LOOP）。</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3、视频输出支持不少于8路千兆网口输出，1路10G-OPT光口，最大带载可达520万像素，最宽支持10240,最高8192。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4、音频输入支持视频口伴随音频输入及独立输入两种模式，音频输出支持网口扩展输出及3.5mm独立音频口输出；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5、支持输入源备份功能，主源丢失下，无需人为操作可自动切换至备源显示，切换过程无黑屏；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6、可支持144HZ高帧率输入输出，输出支持插帧、抽帧、倍频（2倍频、3倍频、4倍频）功能，可将30HZ信号，倍频至120HZ输出；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7、图层能力：最大可支持不少于6个2K图层或1个4K图层+2个2K图层，全部图层大小和位置可单独调节。4K接口输入2K信号，按2K图层计算图层资源；</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支持U盘即插即播功能，最大支持4K级（3840*2160@60fps）图片和视频的流畅播放，播放列表计切换效果支持自定义编排，最多支持20余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10、标配全彩液晶，搭配实体按键，极大的方便了设备整体状态的监控及设备功能的控制:设备功能按键及丝印信息采用全中文提示，项目上无需粘贴额外的标签纸加以区分，清晰直观;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11、支持2种用户模式，标准模式和专业模式，满足不同角色对显示屏的分权管理，使用更加放心；</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12、支持微信小程序快捷控制，包括亮度调节、输出画质调节、待机模式、画面冻结、场景切换、U盘播放等功能；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13、支持平板对控制器进行快捷控制，包括亮度调节、图层布局调节、画面冻结、黑屏、场景切换、音量大小、OSD开关等功能；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14、支持创建多个设备还原点，将当前设备的配屏，场景，输出等参数存储为还原点，当系统工作异常时，可根据还原点一键快速还原；</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15、支持控制设备白名单，可通过MAC地址限制控制设备，非白名单内设备无法控制设备，不允许对设备进行操作；</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16、MTBF≥150000小时，MTTR平均修复小于10分钟可用度大于 99%，整机寿命不小于150000小时。产品稳定性高、性能卓越、纯硬件结构，上电即可正常工作，无需做任何其它设置。</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17、设备控制支持BS架构，可兼容多种操作系统包括但不限于：Windows、MAC OS、深度 Linux、银河麒麟、统信 UOS中标麒麟(NeoKylin)、优麒麟(UbuntuKylin)、凝思磐石、红旗 Linux 等;</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全展区灯光集控电柜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12路灯光分区域集中控制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PLC控制器串口智能接入</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上位通讯接口：RJ45网络接口、RS-232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含定制电箱</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全馆无线网络覆盖人员</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网络标准：IEEE 802.11n、IEEE 802.11g、IEEE 802.11b、IEEE 802.3、IEEE 802.3u；</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数据传输：300Mbps；线管网络布线及安装调试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胜棋楼一楼 18.76*13.3  250㎡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胜棋楼二楼 18.76*11.4  214㎡</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华严庵 10.7*3.9  42㎡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郁金堂 10.5*12.67  133㎡</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苏合厢 11.3*5.1  58㎡</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过道300㎡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1000</w:t>
            </w:r>
            <w:r/>
          </w:p>
        </w:tc>
      </w:tr>
      <w:tr>
        <w:trPr>
          <w:trHeight w:val="512"/>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1.芯线：4对8芯实心无氧铜，线规24AWG，导体直径≈0.5mm</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2.线对颜色：白橙、橙；白绿、绿；白蓝、蓝；白棕、棕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3.绝缘：高密度聚乙烯HDPE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4.外护套：PVC / LSZH低烟无卤；线缆外径约5mm</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5.包装标准：305米/箱（1000英尺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6.带宽 100MHz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7.最大速率 100米内稳定 1000Mbps（千兆）；不支持万兆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8.标准链路长度 ≤100米（信道）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9.特性阻抗 100Ω ±15Ω（1~100MHz）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10.直流电阻（20℃） ≤9.38Ω /100m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11.时延差（Delay Skew） ≤45ns /100m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12.支持POE IEEE802.3af/at 标准POE供电 </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以太网交换机</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numPr>
                <w:numId w:val="0"/>
              </w:numPr>
              <w:jc w:val="left"/>
              <w:keepLines w:val="0"/>
              <w:keepNext w:val="0"/>
              <w:widowControl/>
              <w:rPr>
                <w:rFonts w:hint="eastAsia" w:ascii="宋体" w:hAnsi="宋体" w:eastAsia="宋体" w:cs="宋体"/>
                <w:i w:val="0"/>
                <w:iCs w:val="0"/>
                <w:color w:val="000000" w:themeColor="text1"/>
                <w:sz w:val="18"/>
                <w:szCs w:val="18"/>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
                <w14:textFill>
                  <w14:solidFill>
                    <w14:schemeClr w14:val="tx1"/>
                  </w14:solidFill>
                </w14:textFill>
              </w:rPr>
              <w:t xml:space="preserve">1.★交换容量≥672Gbps，包转发率≥171Mpps，（提供 CMA 认证的第三方机构检测报告并加盖投标人公章）</w:t>
            </w:r>
            <w:r/>
          </w:p>
          <w:p>
            <w:pPr>
              <w:numPr>
                <w:numId w:val="0"/>
              </w:numPr>
              <w:jc w:val="left"/>
              <w:keepLines w:val="0"/>
              <w:keepNext w:val="0"/>
              <w:widowControl/>
              <w:rPr>
                <w:rFonts w:hint="eastAsia" w:ascii="宋体" w:hAnsi="宋体" w:eastAsia="宋体" w:cs="宋体"/>
                <w:i w:val="0"/>
                <w:iCs w:val="0"/>
                <w:color w:val="000000" w:themeColor="text1"/>
                <w:sz w:val="18"/>
                <w:szCs w:val="18"/>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
                <w14:textFill>
                  <w14:solidFill>
                    <w14:schemeClr w14:val="tx1"/>
                  </w14:solidFill>
                </w14:textFill>
              </w:rPr>
              <w:t xml:space="preserve">2.★提供≥24 个 10/100/1000BASE-T PoE+自适应以太网端口，≥4 个 1000BASE-X SFP 端口；（提供 CMA 认证的第三方机构检测报告并加盖投标人公章）</w:t>
            </w:r>
            <w:r/>
          </w:p>
          <w:p>
            <w:pPr>
              <w:numPr>
                <w:numId w:val="0"/>
              </w:numPr>
              <w:jc w:val="left"/>
              <w:keepLines w:val="0"/>
              <w:keepNext w:val="0"/>
              <w:widowControl/>
              <w:rPr>
                <w:rFonts w:hint="eastAsia" w:ascii="宋体" w:hAnsi="宋体" w:eastAsia="宋体" w:cs="宋体"/>
                <w:i w:val="0"/>
                <w:iCs w:val="0"/>
                <w:color w:val="000000" w:themeColor="text1"/>
                <w:sz w:val="18"/>
                <w:szCs w:val="18"/>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
                <w14:textFill>
                  <w14:solidFill>
                    <w14:schemeClr w14:val="tx1"/>
                  </w14:solidFill>
                </w14:textFill>
              </w:rPr>
              <w:t xml:space="preserve">3.支持 IPv4/IPv6 静态路由，支持 RIP/RIPng，OSPF v2/v3；</w:t>
            </w:r>
            <w:r/>
          </w:p>
          <w:p>
            <w:pPr>
              <w:numPr>
                <w:numId w:val="0"/>
              </w:numPr>
              <w:jc w:val="left"/>
              <w:keepLines w:val="0"/>
              <w:keepNext w:val="0"/>
              <w:widowControl/>
              <w:rPr>
                <w:rFonts w:hint="eastAsia" w:ascii="宋体" w:hAnsi="宋体" w:eastAsia="宋体" w:cs="宋体"/>
                <w:i w:val="0"/>
                <w:iCs w:val="0"/>
                <w:color w:val="000000" w:themeColor="text1"/>
                <w:sz w:val="18"/>
                <w:szCs w:val="18"/>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
                <w14:textFill>
                  <w14:solidFill>
                    <w14:schemeClr w14:val="tx1"/>
                  </w14:solidFill>
                </w14:textFill>
              </w:rPr>
              <w:t xml:space="preserve">4.支持端口隔离、端口安全，支持 802.1X；</w:t>
            </w:r>
            <w:r/>
          </w:p>
          <w:p>
            <w:pPr>
              <w:numPr>
                <w:numId w:val="0"/>
              </w:numPr>
              <w:jc w:val="left"/>
              <w:keepLines w:val="0"/>
              <w:keepNext w:val="0"/>
              <w:widowControl/>
              <w:rPr>
                <w:rFonts w:hint="eastAsia" w:ascii="宋体" w:hAnsi="宋体" w:eastAsia="宋体" w:cs="宋体"/>
                <w:i w:val="0"/>
                <w:iCs w:val="0"/>
                <w:color w:val="000000" w:themeColor="text1"/>
                <w:sz w:val="18"/>
                <w:szCs w:val="18"/>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
                <w14:textFill>
                  <w14:solidFill>
                    <w14:schemeClr w14:val="tx1"/>
                  </w14:solidFill>
                </w14:textFill>
              </w:rPr>
              <w:t xml:space="preserve">5.支持基于 IP 子网的 VLAN、基于协议的 VLAN、基于 MAC 的 VLAN；</w:t>
            </w:r>
            <w:r/>
          </w:p>
          <w:p>
            <w:pPr>
              <w:numPr>
                <w:numId w:val="0"/>
              </w:numPr>
              <w:jc w:val="left"/>
              <w:keepLines w:val="0"/>
              <w:keepNext w:val="0"/>
              <w:widowControl/>
              <w:rPr>
                <w:rFonts w:hint="eastAsia" w:ascii="宋体" w:hAnsi="宋体" w:eastAsia="宋体" w:cs="宋体"/>
                <w:i w:val="0"/>
                <w:iCs w:val="0"/>
                <w:color w:val="000000" w:themeColor="text1"/>
                <w:sz w:val="18"/>
                <w:szCs w:val="18"/>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
                <w14:textFill>
                  <w14:solidFill>
                    <w14:schemeClr w14:val="tx1"/>
                  </w14:solidFill>
                </w14:textFill>
              </w:rPr>
              <w:t xml:space="preserve">6.★支持九台设备堆叠，可实现集中管理；（提供 CMA 认证的第三方机构检测报告并加盖投标人公章）</w:t>
            </w:r>
            <w:r/>
          </w:p>
          <w:p>
            <w:pPr>
              <w:numPr>
                <w:numId w:val="0"/>
              </w:numPr>
              <w:jc w:val="left"/>
              <w:keepLines w:val="0"/>
              <w:keepNext w:val="0"/>
              <w:widowControl/>
              <w:rPr>
                <w:rFonts w:hint="eastAsia" w:ascii="宋体" w:hAnsi="宋体" w:eastAsia="宋体" w:cs="宋体"/>
                <w:i w:val="0"/>
                <w:iCs w:val="0"/>
                <w:color w:val="000000" w:themeColor="text1"/>
                <w:sz w:val="18"/>
                <w:szCs w:val="18"/>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
                <w14:textFill>
                  <w14:solidFill>
                    <w14:schemeClr w14:val="tx1"/>
                  </w14:solidFill>
                </w14:textFill>
              </w:rPr>
              <w:t xml:space="preserve">7.★支持流镜像、端口镜像、远程镜像，至少支持 4 个镜像组；（提供 CMA 认证的第三方机构检测报告并加盖投标人公章）</w:t>
            </w:r>
            <w:r/>
          </w:p>
          <w:p>
            <w:pPr>
              <w:numPr>
                <w:numId w:val="0"/>
              </w:numPr>
              <w:jc w:val="left"/>
              <w:keepLines w:val="0"/>
              <w:keepNext w:val="0"/>
              <w:widowControl/>
              <w:rPr>
                <w:rFonts w:hint="eastAsia" w:ascii="宋体" w:hAnsi="宋体" w:eastAsia="宋体" w:cs="宋体"/>
                <w:i w:val="0"/>
                <w:iCs w:val="0"/>
                <w:color w:val="000000" w:themeColor="text1"/>
                <w:sz w:val="18"/>
                <w:szCs w:val="18"/>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
                <w14:textFill>
                  <w14:solidFill>
                    <w14:schemeClr w14:val="tx1"/>
                  </w14:solidFill>
                </w14:textFill>
              </w:rPr>
              <w:t xml:space="preserve">8.支持 CPU 保护功能；</w:t>
            </w:r>
            <w:r/>
          </w:p>
          <w:p>
            <w:pPr>
              <w:numPr>
                <w:numId w:val="0"/>
              </w:numPr>
              <w:jc w:val="left"/>
              <w:keepLines w:val="0"/>
              <w:keepNext w:val="0"/>
              <w:widowControl/>
              <w:rPr>
                <w:rFonts w:hint="eastAsia" w:ascii="宋体" w:hAnsi="宋体" w:eastAsia="宋体" w:cs="宋体"/>
                <w:i w:val="0"/>
                <w:iCs w:val="0"/>
                <w:color w:val="000000" w:themeColor="text1"/>
                <w:sz w:val="18"/>
                <w:szCs w:val="18"/>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
                <w14:textFill>
                  <w14:solidFill>
                    <w14:schemeClr w14:val="tx1"/>
                  </w14:solidFill>
                </w14:textFill>
              </w:rPr>
              <w:t xml:space="preserve">9.支持零配置启动功能；</w:t>
            </w:r>
            <w:r/>
          </w:p>
          <w:p>
            <w:pPr>
              <w:numPr>
                <w:numId w:val="0"/>
              </w:numPr>
              <w:jc w:val="left"/>
              <w:keepLines w:val="0"/>
              <w:keepNext w:val="0"/>
              <w:widowControl/>
              <w:rPr>
                <w:rFonts w:hint="eastAsia" w:ascii="宋体" w:hAnsi="宋体" w:eastAsia="宋体" w:cs="宋体"/>
                <w:i w:val="0"/>
                <w:iCs w:val="0"/>
                <w:color w:val="000000" w:themeColor="text1"/>
                <w:sz w:val="18"/>
                <w:szCs w:val="18"/>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
                <w14:textFill>
                  <w14:solidFill>
                    <w14:schemeClr w14:val="tx1"/>
                  </w14:solidFill>
                </w14:textFill>
              </w:rPr>
              <w:t xml:space="preserve">10.支持 IP 分片和重组功能；</w:t>
            </w:r>
            <w:r/>
          </w:p>
          <w:p>
            <w:pPr>
              <w:numPr>
                <w:numId w:val="0"/>
              </w:numPr>
              <w:jc w:val="left"/>
              <w:keepLines w:val="0"/>
              <w:keepNext w:val="0"/>
              <w:widowControl/>
              <w:rPr>
                <w:rFonts w:hint="eastAsia" w:ascii="宋体" w:hAnsi="宋体" w:eastAsia="宋体" w:cs="宋体"/>
                <w:i w:val="0"/>
                <w:iCs w:val="0"/>
                <w:color w:val="000000" w:themeColor="text1"/>
                <w:sz w:val="18"/>
                <w:szCs w:val="18"/>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
                <w14:textFill>
                  <w14:solidFill>
                    <w14:schemeClr w14:val="tx1"/>
                  </w14:solidFill>
                </w14:textFill>
              </w:rPr>
              <w:t xml:space="preserve">11.支持 Secure boot 功能；</w:t>
            </w:r>
            <w:r/>
          </w:p>
          <w:p>
            <w:pPr>
              <w:numPr>
                <w:numId w:val="0"/>
              </w:numPr>
              <w:jc w:val="left"/>
              <w:keepLines w:val="0"/>
              <w:keepNext w:val="0"/>
              <w:widowControl/>
              <w:rPr>
                <w:rFonts w:hint="eastAsia" w:ascii="宋体" w:hAnsi="宋体" w:eastAsia="宋体" w:cs="宋体"/>
                <w:i w:val="0"/>
                <w:iCs w:val="0"/>
                <w:color w:val="000000" w:themeColor="text1"/>
                <w:sz w:val="18"/>
                <w:szCs w:val="18"/>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
                <w14:textFill>
                  <w14:solidFill>
                    <w14:schemeClr w14:val="tx1"/>
                  </w14:solidFill>
                </w14:textFill>
              </w:rPr>
              <w:t xml:space="preserve">12.能够限制用户向网络中发送 ARP 报文、DHCP 请求报文等数据包的速率；</w:t>
            </w:r>
            <w:r/>
          </w:p>
          <w:p>
            <w:pPr>
              <w:numPr>
                <w:numId w:val="0"/>
              </w:numPr>
              <w:jc w:val="left"/>
              <w:keepLines w:val="0"/>
              <w:keepNext w:val="0"/>
              <w:widowControl/>
              <w:rPr>
                <w:rFonts w:hint="eastAsia" w:ascii="宋体" w:hAnsi="宋体" w:eastAsia="宋体" w:cs="宋体"/>
                <w:i w:val="0"/>
                <w:iCs w:val="0"/>
                <w:color w:val="000000" w:themeColor="text1"/>
                <w:sz w:val="18"/>
                <w:szCs w:val="18"/>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
                <w14:textFill>
                  <w14:solidFill>
                    <w14:schemeClr w14:val="tx1"/>
                  </w14:solidFill>
                </w14:textFill>
              </w:rPr>
              <w:t xml:space="preserve">13.支持 STP、RSTP、MSTP、PVST；</w:t>
            </w:r>
            <w:r/>
          </w:p>
          <w:p>
            <w:pPr>
              <w:numPr>
                <w:numId w:val="0"/>
              </w:num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
                <w14:textFill>
                  <w14:solidFill>
                    <w14:schemeClr w14:val="tx1"/>
                  </w14:solidFill>
                </w14:textFill>
              </w:rPr>
              <w:t xml:space="preserve">14.支持命令行接口（CLI）配置，支持通过 Console 口配置</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1、本次配置≥128个管理AP授权，最大支持管理常规AP数量≥512；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2、接口类型：提供≥8个千兆GE端口，≥2个万兆SFP+端口，≥2个2.5GE端口，1个Console口，1个USB接口；配置≥2个电源模块，提供官网链接和截图证明；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3、转发性能：集中转发性能≥10Gbps；</w:t>
            </w:r>
            <w:bookmarkStart w:id="273" w:name="_GoBack"/>
            <w:r/>
            <w:bookmarkEnd w:id="273"/>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为使得网络管理员实时感知网络状态，所投产品需要在网络发生异常时，可利用短信、微信、邮件等三种不同方式推送告警信息；</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5、满足标准IETF 5415 CAPWAP协议，AP和AC之间满足L2/L3层网络拓扑，为提高网络安全，AP与控制器之间能够满足DTLS对CAPWAP隧道进行加密处理，提供第三方权威机构测试报告证明；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6、无线漫游：支持AC内漫游，支持跨AC间漫游，支持跨VLAN的三层漫游；</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7、为了有效排查无线网络中存在的匿名攻击的隐患，所投产品需要具备仿冒终端检查的能力，并且识别仿冒终端所接入SSID、AP以及终端设备型号、终端操作系统等信息，要求提供第三方权威机构测试报告证明；</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AP</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1、整机采用双频4流设计，可工作在802.11a/b/g/n/ac/ac wave2/ax/be模式，提供官网截图证明；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2、整机协商速率≥3.57Gbps，5GHz频段最大可协商速率≥2.882Gbps，提供官网链接和截图证明；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3、提供≥1个100/1000M/2.5G电口；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4、在自动功率调整基础上，支持检测信号覆盖黑洞功能，并对AP功率做出修正，保证处于特殊位置的终端接收到增强的AP信号，保证体验。要求提供工信部或下属实验室出具的第三方测试报告；</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5、采用内置智能天线设计</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支持WLAN上行链路检测功能，实时监测上行链路的可行性，当上行链路不可达时，将射频关闭，避免终端连接到不可用的网络。当上行链路恢复时，射频自动开启，无线终端可以正常接入。要求提供工信部或下属实验室出具的第三方测试报告</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r>
      <w:tr>
        <w:trPr>
          <w:trHeight w:val="448"/>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控制服务器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i5-7700/8G DDR/256G SSD 固态/4G 独显；</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液晶显示器</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21.5"液晶显示器</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分辨率：1920×1080，60Hz</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亮度：250cd/㎡</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配套原装键鼠</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移动控制终端</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平板电脑</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屏幕尺寸：11英寸；</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屏幕比例：16:10；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存储容量:128GB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分辨率：1920*1200</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雷达控制系统</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雷达 TX → USB 转模块 RX</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雷达 RX → USB 转模块 TX</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雷达 GND ↔ USB 模块 GND</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雷达接 DC12V 供电，USB 插电脑 USB 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网线直连雷达与电脑，电脑 IP 改为同网段</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打开厂家上位机，切换通讯模式为 UDP，填写雷达 IP、端口号</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点击连接，直接接收 JSON 格式 XY 坐标，**不用串口驱动**</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 同样可以在上位机修改雷达参数并保存</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全馆总控程序集</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（服务器端）</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图形化操作界面</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独立多媒体展项状态综合控制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智能分区语音切换控制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灯光独立控制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投影机开/关控制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计算机开/关控制（不含中控主机）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设备运行状态指示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与移动终端实时闭环通讯</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全馆总控程序集</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（移动终端）</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图形化操作界面</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独立多媒体展项状态综合控制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智能分区语音切换控制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灯光独立控制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计算机开/关控制（不含中控主机）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设备运行状态指示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与中控计算机实时闭环通讯</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硅箱机柜</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规格：600×600×1200mm</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r>
      <w:tr>
        <w:trPr>
          <w:trHeight w:val="302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设备安装，系统调试及控制软件部署（人员）</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现场管线敷设、线缆穿线；双绞线端接、水晶头压制、链路福禄克测试；机柜、服务器、网络设备、多媒体展项设备上架安装；全馆总控服务器端与移动终端控制软件部署、参数配置、权限设置；网络调试、多媒体展项单体调试、全馆系统联调；点位标签制作、现场技术交底、试运行值守、竣工测试及调试文档编制，含项目实施全套技术人员人工。</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网络系统调试：网络工程师配置交换机 VLAN 划分、路由协议、ACL 访问控制、QoS 流量管理等，进行网络连通性测试、冗余备份测试及带宽压力测试。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服务器系统调试：系统工程师安装操作系统，配置域环境、文件共享、数据库服务，进行系统补丁更新及安全加固，确保服务器稳定运行。</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应用系统部署调试：1 名应用工程师根据用户需求，安装部署业务软件，配置数据库连接、用户权限及参数设置，进行功能模块联调及压力测试，确保软件满足业务流程要求。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整体联调与优化：由项目技术负责人组织各专业工程师进行系统整体联调，模拟实际业务场景测试端到端功能，对网络延迟、系统响应速度等进行优化，输出调试报告</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r>
      <w:tr>
        <w:trPr>
          <w:trHeight w:val="1250"/>
        </w:trPr>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莫愁湖仿古卷轴园林沙盘展品</w:t>
            </w:r>
            <w:r/>
          </w:p>
        </w:tc>
        <w:tc>
          <w:tcPr>
            <w:shd w:val="clear" w:color="auto" w:fill="auto"/>
            <w:tcBorders>
              <w:top w:val="single" w:color="000000" w:sz="4" w:space="0"/>
              <w:left w:val="single" w:color="000000" w:sz="4" w:space="0"/>
              <w:bottom w:val="single" w:color="000000" w:sz="4" w:space="0"/>
              <w:right w:val="single" w:color="000000" w:sz="4" w:space="0"/>
            </w:tcBorders>
            <w:tcW w:w="948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品定制仿古卷轴造型艺术沙盘展品，按 1:50 比例完整复刻南京莫愁湖核心建筑群，精细还原华严庵、胜棋楼、郁金堂、苏合厢建筑本体；配套湖面水景、林木绿植、假山置石、景观桥梁（桥宽 3.8m），搭载场景景观灯光系统，整体分层造景，还原莫愁湖园林空间格局；建筑细节、形制、布局严格按实景 1:50 缩比制作，打造沉浸式古典画卷展示效果。</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r>
    </w:tbl>
    <w:p>
      <w:pPr>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r>
      <w:r/>
    </w:p>
    <w:p>
      <w:pPr>
        <w:pStyle w:val="787"/>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r>
      <w:r/>
    </w:p>
    <w:p>
      <w:pPr>
        <w:rPr>
          <w:rFonts w:hint="eastAsia" w:ascii="宋体" w:hAnsi="宋体" w:eastAsia="宋体" w:cs="宋体"/>
          <w:b/>
          <w:bCs/>
          <w:i w:val="0"/>
          <w:iCs w:val="0"/>
          <w:color w:val="000000" w:themeColor="text1"/>
          <w:sz w:val="32"/>
          <w:szCs w:val="32"/>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32"/>
          <w:szCs w:val="32"/>
          <w:highlight w:val="none"/>
          <w:u w:val="none"/>
          <w:lang w:val="en-US" w:eastAsia="zh-CN" w:bidi="ar"/>
          <w14:textFill>
            <w14:solidFill>
              <w14:schemeClr w14:val="tx1"/>
            </w14:solidFill>
          </w14:textFill>
        </w:rPr>
        <w:br w:type="page" w:clear="all"/>
      </w:r>
      <w:r/>
    </w:p>
    <w:p>
      <w:pPr>
        <w:rPr>
          <w:rFonts w:hint="eastAsia" w:ascii="宋体" w:hAnsi="宋体" w:eastAsia="宋体" w:cs="宋体"/>
          <w:b/>
          <w:bCs/>
          <w:i w:val="0"/>
          <w:iCs w:val="0"/>
          <w:color w:val="000000" w:themeColor="text1"/>
          <w:sz w:val="32"/>
          <w:szCs w:val="32"/>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32"/>
          <w:szCs w:val="32"/>
          <w:highlight w:val="none"/>
          <w:u w:val="none"/>
          <w:lang w:val="en-US" w:eastAsia="zh-CN" w:bidi="ar"/>
          <w14:textFill>
            <w14:solidFill>
              <w14:schemeClr w14:val="tx1"/>
            </w14:solidFill>
          </w14:textFill>
        </w:rPr>
      </w:r>
      <w:r/>
    </w:p>
    <w:p>
      <w:pPr>
        <w:numPr>
          <w:ilvl w:val="0"/>
          <w:numId w:val="0"/>
        </w:numP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lang w:val="en-US" w:eastAsia="zh-CN" w:bidi="ar"/>
          <w14:textFill>
            <w14:solidFill>
              <w14:schemeClr w14:val="tx1"/>
            </w14:solidFill>
          </w14:textFill>
        </w:rPr>
        <w:t xml:space="preserve">（4）</w:t>
      </w: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关于莫愁湖多媒体影片服务采购的采购清单</w:t>
      </w:r>
      <w:r/>
    </w:p>
    <w:p>
      <w:pPr>
        <w:pStyle w:val="787"/>
        <w:numPr>
          <w:ilvl w:val="0"/>
          <w:numId w:val="0"/>
        </w:num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tbl>
      <w:tblPr>
        <w:tblStyle w:val="733"/>
        <w:tblW w:w="142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8"/>
        <w:gridCol w:w="1085"/>
        <w:gridCol w:w="975"/>
        <w:gridCol w:w="1507"/>
        <w:gridCol w:w="7600"/>
        <w:gridCol w:w="1050"/>
        <w:gridCol w:w="1080"/>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展区</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18"/>
                <w:szCs w:val="18"/>
                <w:highlight w:val="none"/>
                <w:u w:val="none"/>
                <w:lang w:val="en-US"/>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项目</w:t>
            </w:r>
            <w:r>
              <w:rPr>
                <w:rFonts w:hint="eastAsia" w:ascii="宋体" w:hAnsi="宋体" w:cs="宋体"/>
                <w:b/>
                <w:bCs/>
                <w:i w:val="0"/>
                <w:iCs w:val="0"/>
                <w:color w:val="000000" w:themeColor="text1"/>
                <w:sz w:val="18"/>
                <w:szCs w:val="18"/>
                <w:highlight w:val="none"/>
                <w:u w:val="none"/>
                <w:lang w:val="en-US" w:eastAsia="zh-CN" w:bidi="ar"/>
                <w14:textFill>
                  <w14:solidFill>
                    <w14:schemeClr w14:val="tx1"/>
                  </w14:solidFill>
                </w14:textFill>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8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软硬件类别/名称</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规格/功能</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单位</w:t>
            </w:r>
            <w:r/>
          </w:p>
        </w:tc>
      </w:tr>
      <w:tr>
        <w:trPr>
          <w:trHeight w:val="1122"/>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华严庵</w:t>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莫愁女导览莫愁湖</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r>
      <w:tr>
        <w:trPr>
          <w:trHeight w:val="1140"/>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r>
      <w:tr>
        <w:trPr>
          <w:trHeight w:val="1140"/>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non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数字人驱动：自研数字人平台；；语音合成：讯飞配音/剪映朗读；后期合成：剪映专业版、Premiere Pro、After Effects、DaVinci Resolve</w:t>
            </w:r>
            <w:r/>
          </w:p>
        </w:tc>
        <w:tc>
          <w:tcPr>
            <w:shd w:val="clear" w:color="auto" w:fill="auto"/>
            <w:tcBorders>
              <w:top w:val="single" w:color="000000" w:sz="4" w:space="0"/>
              <w:left w:val="single" w:color="000000" w:sz="4" w:space="0"/>
              <w:bottom w:val="non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古风数字人形象设计与建模；AI语音合成(TTS)与音色克隆；口型同步及表情、手势动作驱动；文生/图生视频生成春夏秋冬四季场景；4K渲染与四季多版本批量输出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2260"/>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720"/>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75"/>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400"/>
        </w:trPr>
        <w:tc>
          <w:tcPr>
            <w:shd w:val="clear" w:color="auto" w:fill="auto"/>
            <w:tcBorders>
              <w:top w:val="singl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胜棋楼</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莫愁湖传说、风光、人文等介绍</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史料考据与脚本分镜策划；8K超高清实拍与航拍；AI再现历史传说场景；素材AI修复与超分辨率增强至8K；旁白配音、配乐与字幕；非线性剪辑、调色与整体栏目包装</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377"/>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298"/>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莫愁湖湖水等园区景观动画（水、人、动物）</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湖水流体动力学与粒子特效模拟；植被与环境氛围制作；写实渲染；三维画面后期合成与镜头漫游运镜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胜棋楼西间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413"/>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莫愁湖水文变迁视频（常规包装类剪辑视频/AI介绍视频）</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胜棋楼东间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莫愁女的传说和故事、事迹（图文版）</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478"/>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莫愁相关的文物，在线文物检索平台（来源于官方可取证平台）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互动查询</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478"/>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莫愁女相关影片、影像资料等（视频剪辑包装）</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073"/>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万岁棋局AI复原</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万岁棋谱AI复原</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AI扫描软件</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复古家具场景还原</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扫描胜棋楼二楼空间后还原明式厅堂家具摆放场景</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1142"/>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郁金堂</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AI复活莫愁女的生活场景</w:t>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r>
      <w:tr>
        <w:trPr>
          <w:trHeight w:val="1089"/>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r>
      <w:tr>
        <w:trPr>
          <w:trHeight w:val="156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738"/>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依据古画、文献AI复原莫愁女形象并保持人物一致性；AI数字人表情与动作驱动(让历史人物“开口复活”)；文生/图生视频生成古代生活场景；历史场景数字复原与人物影像合成</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198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92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60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408"/>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130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仕女图活过来串屏（12 块屏幕）</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互动查询</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r>
        <w:trPr>
          <w:trHeight w:val="915"/>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古画数字化；AI图生视频让仕女“活起来”；跨12块屏的连贯运动轨迹设计与人物穿行衔接；整体超大画幅制作后按屏拆分、屏间像素对齐；多屏同步播控联调与循环播放</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r>
      <w:tr>
        <w:trPr>
          <w:trHeight w:val="110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80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r>
      <w:tr>
        <w:trPr>
          <w:trHeight w:val="1030"/>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Tgent算力，3600Token</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r>
      <w:tr>
        <w:trPr>
          <w:trHeight w:val="431"/>
        </w:trPr>
        <w:tc>
          <w:tcPr>
            <w:shd w:val="clear" w:color="auto" w:fill="auto"/>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配乐</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水院雕像</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AI扫描软件</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水院莫愁女雕像活化</w:t>
            </w:r>
            <w:r/>
          </w:p>
        </w:tc>
        <w:tc>
          <w:tcPr>
            <w:shd w:val="clear" w:color="auto" w:fill="auto"/>
            <w:tcBorders>
              <w:top w:val="single" w:color="000000" w:sz="4" w:space="0"/>
              <w:left w:val="single" w:color="000000" w:sz="4" w:space="0"/>
              <w:bottom w:val="single" w:color="000000" w:sz="4" w:space="0"/>
              <w:right w:val="single" w:color="000000" w:sz="4" w:space="0"/>
            </w:tcBorders>
            <w:tcW w:w="760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扫描莫愁女石像后结合数字人IP技术实现莫愁女互动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r>
    </w:tbl>
    <w:p>
      <w:pPr>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r>
      <w:r/>
    </w:p>
    <w:p>
      <w:pPr>
        <w:numPr>
          <w:ilvl w:val="0"/>
          <w:numId w:val="0"/>
        </w:numPr>
        <w:ind w:firstLine="843"/>
        <w:pageBreakBefore w:val="0"/>
        <w:spacing w:line="360" w:lineRule="auto"/>
        <w:widowControl w:val="off"/>
        <w:rPr>
          <w:rFonts w:hint="eastAsia" w:cs="宋体" w:asciiTheme="minorEastAsia" w:hAnsiTheme="minorEastAsia" w:eastAsiaTheme="minorEastAsia"/>
          <w:b/>
          <w:color w:val="000000" w:themeColor="text1"/>
          <w:szCs w:val="21"/>
          <w:highlight w:val="none"/>
          <w:lang w:eastAsia="zh-CN"/>
          <w14:textFill>
            <w14:solidFill>
              <w14:schemeClr w14:val="tx1"/>
            </w14:solidFill>
          </w14:textFill>
        </w:rPr>
        <w:sectPr>
          <w:footnotePr/>
          <w:endnotePr/>
          <w:type w:val="nextPage"/>
          <w:pgSz w:w="16838" w:h="11906" w:orient="landscape"/>
          <w:pgMar w:top="1080" w:right="1440" w:bottom="1080" w:left="1440" w:header="851" w:footer="907" w:gutter="0"/>
          <w:cols w:num="1" w:sep="0" w:space="720" w:equalWidth="1"/>
          <w:docGrid w:linePitch="360"/>
          <w:titlePg/>
        </w:sectPr>
      </w:pPr>
      <w:r>
        <w:rPr>
          <w:rFonts w:hint="eastAsia" w:cs="宋体" w:asciiTheme="minorEastAsia" w:hAnsiTheme="minorEastAsia" w:eastAsiaTheme="minorEastAsia"/>
          <w:b/>
          <w:color w:val="000000" w:themeColor="text1"/>
          <w:szCs w:val="21"/>
          <w:highlight w:val="none"/>
          <w:lang w:eastAsia="zh-CN"/>
          <w14:textFill>
            <w14:solidFill>
              <w14:schemeClr w14:val="tx1"/>
            </w14:solidFill>
          </w14:textFill>
        </w:rPr>
      </w:r>
      <w:r/>
    </w:p>
    <w:p>
      <w:pPr>
        <w:ind w:firstLine="48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四</w:t>
      </w:r>
      <w:r>
        <w:rPr>
          <w:rFonts w:cs="宋体" w:asciiTheme="minorEastAsia" w:hAnsiTheme="minorEastAsia" w:eastAsiaTheme="minorEastAsia"/>
          <w:b/>
          <w:color w:val="000000" w:themeColor="text1"/>
          <w:szCs w:val="21"/>
          <w:highlight w:val="none"/>
          <w14:textFill>
            <w14:solidFill>
              <w14:schemeClr w14:val="tx1"/>
            </w14:solidFill>
          </w14:textFill>
        </w:rPr>
        <w:t xml:space="preserve">、服务时间和地点 </w:t>
      </w:r>
      <w:r/>
    </w:p>
    <w:p>
      <w:pPr>
        <w:ind w:firstLine="420"/>
        <w:spacing w:line="360" w:lineRule="auto"/>
        <w:rPr>
          <w:rFonts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rPr>
          <w:rFonts w:asciiTheme="minorEastAsia" w:hAnsiTheme="minorEastAsia" w:eastAsiaTheme="minorEastAsia"/>
          <w:color w:val="000000" w:themeColor="text1"/>
          <w:szCs w:val="21"/>
          <w:highlight w:val="none"/>
          <w14:textFill>
            <w14:solidFill>
              <w14:schemeClr w14:val="tx1"/>
            </w14:solidFill>
          </w14:textFill>
        </w:rPr>
        <w:t xml:space="preserve">1</w:t>
      </w:r>
      <w:r>
        <w:rPr>
          <w:rFonts w:cs="宋体" w:asciiTheme="minorEastAsia" w:hAnsiTheme="minorEastAsia" w:eastAsiaTheme="minorEastAsia"/>
          <w:color w:val="000000" w:themeColor="text1"/>
          <w:szCs w:val="21"/>
          <w:highlight w:val="none"/>
          <w14:textFill>
            <w14:solidFill>
              <w14:schemeClr w14:val="tx1"/>
            </w14:solidFill>
          </w14:textFill>
        </w:rPr>
        <w:t xml:space="preserve">）服务期限：</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60日历天。</w:t>
      </w:r>
      <w:r/>
    </w:p>
    <w:p>
      <w:pPr>
        <w:ind w:firstLine="42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highlight w:val="none"/>
          <w14:textFill>
            <w14:solidFill>
              <w14:schemeClr w14:val="tx1"/>
            </w14:solidFill>
          </w14:textFill>
        </w:rPr>
        <w:t xml:space="preserve">（2）服务地点：采购人指定地点。</w:t>
      </w:r>
      <w:r/>
    </w:p>
    <w:p>
      <w:pPr>
        <w:ind w:firstLine="48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五</w:t>
      </w:r>
      <w:r>
        <w:rPr>
          <w:rFonts w:cs="宋体" w:asciiTheme="minorEastAsia" w:hAnsiTheme="minorEastAsia" w:eastAsiaTheme="minorEastAsia"/>
          <w:b/>
          <w:color w:val="000000" w:themeColor="text1"/>
          <w:szCs w:val="21"/>
          <w:highlight w:val="none"/>
          <w14:textFill>
            <w14:solidFill>
              <w14:schemeClr w14:val="tx1"/>
            </w14:solidFill>
          </w14:textFill>
        </w:rPr>
        <w:t xml:space="preserve">、付款条件</w:t>
      </w:r>
      <w:r/>
    </w:p>
    <w:p>
      <w:pPr>
        <w:ind w:firstLine="480"/>
        <w:spacing w:line="360" w:lineRule="auto"/>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highlight w:val="none"/>
          <w14:textFill>
            <w14:solidFill>
              <w14:schemeClr w14:val="tx1"/>
            </w14:solidFill>
          </w14:textFill>
        </w:rPr>
        <w:t xml:space="preserve">合同付款相关事项以第五章合同文本内容为准。</w:t>
      </w:r>
      <w:r/>
    </w:p>
    <w:p>
      <w:pPr>
        <w:ind w:firstLine="48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六</w:t>
      </w:r>
      <w:r>
        <w:rPr>
          <w:rFonts w:cs="宋体" w:asciiTheme="minorEastAsia" w:hAnsiTheme="minorEastAsia" w:eastAsiaTheme="minorEastAsia"/>
          <w:b/>
          <w:color w:val="000000" w:themeColor="text1"/>
          <w:szCs w:val="21"/>
          <w:highlight w:val="none"/>
          <w14:textFill>
            <w14:solidFill>
              <w14:schemeClr w14:val="tx1"/>
            </w14:solidFill>
          </w14:textFill>
        </w:rPr>
        <w:t xml:space="preserve">、服务分包</w:t>
      </w:r>
      <w:r/>
    </w:p>
    <w:p>
      <w:pPr>
        <w:ind w:firstLine="420"/>
        <w:spacing w:line="360" w:lineRule="auto"/>
        <w:shd w:val="clear" w:color="ffffff" w:fill="ffffff"/>
        <w:rPr>
          <w:rFonts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highlight w:val="none"/>
          <w14:textFill>
            <w14:solidFill>
              <w14:schemeClr w14:val="tx1"/>
            </w14:solidFill>
          </w14:textFill>
        </w:rPr>
        <w:t xml:space="preserve">本项目不得转包或分包，一经发现有转包或分包现象，立即终止合同，没收其全部履约保证金（履约保证金按实际合同价的5%收取），给采购人造成的损失超过履约保证金数额的，中标人还应当对超过部分予以赔偿，且承担相应的法律责任。</w:t>
      </w:r>
      <w:r/>
    </w:p>
    <w:p>
      <w:pPr>
        <w:ind w:firstLine="420"/>
        <w:spacing w:line="360" w:lineRule="auto"/>
        <w:shd w:val="clear" w:color="ffffff" w:fill="ffffff"/>
        <w:rPr>
          <w:rFonts w:cs="宋体" w:asciiTheme="minorEastAsia" w:hAnsiTheme="minorEastAsia" w:eastAsiaTheme="minorEastAsia"/>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Cs w:val="21"/>
          <w:highlight w:val="none"/>
          <w14:textFill>
            <w14:solidFill>
              <w14:schemeClr w14:val="tx1"/>
            </w14:solidFill>
          </w14:textFill>
        </w:rPr>
      </w:r>
      <w:r/>
    </w:p>
    <w:p>
      <w:pPr>
        <w:jc w:val="left"/>
        <w:spacing w:line="360" w:lineRule="auto"/>
        <w:widowControl/>
        <w:rPr>
          <w:rFonts w:asciiTheme="minorEastAsia" w:hAnsiTheme="minorEastAsia" w:eastAsiaTheme="minorEastAsia"/>
          <w:b/>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br w:type="page" w:clear="all"/>
      </w:r>
      <w:r/>
    </w:p>
    <w:p>
      <w:pPr>
        <w:pStyle w:val="723"/>
        <w:spacing w:after="145"/>
        <w:rPr>
          <w:color w:val="000000" w:themeColor="text1"/>
          <w:highlight w:val="none"/>
          <w14:textFill>
            <w14:solidFill>
              <w14:schemeClr w14:val="tx1"/>
            </w14:solidFill>
          </w14:textFill>
        </w:rPr>
      </w:pPr>
      <w:r/>
      <w:bookmarkStart w:id="233" w:name="_Toc16330"/>
      <w:r>
        <w:rPr>
          <w:rFonts w:hint="eastAsia"/>
          <w:color w:val="000000" w:themeColor="text1"/>
          <w:highlight w:val="none"/>
          <w14:textFill>
            <w14:solidFill>
              <w14:schemeClr w14:val="tx1"/>
            </w14:solidFill>
          </w14:textFill>
        </w:rPr>
        <w:t xml:space="preserve">第五章  评标方法与评标标准</w:t>
      </w:r>
      <w:bookmarkEnd w:id="233"/>
      <w:r/>
      <w:r/>
    </w:p>
    <w:p>
      <w:pPr>
        <w:pStyle w:val="724"/>
        <w:rPr>
          <w:rFonts w:cs="Times New Roman"/>
          <w:b/>
          <w:color w:val="000000" w:themeColor="text1"/>
          <w:highlight w:val="none"/>
          <w14:textFill>
            <w14:solidFill>
              <w14:schemeClr w14:val="tx1"/>
            </w14:solidFill>
          </w14:textFill>
        </w:rPr>
      </w:pPr>
      <w:r/>
      <w:bookmarkStart w:id="234" w:name="_Toc28842"/>
      <w:r>
        <w:rPr>
          <w:rFonts w:hint="eastAsia" w:cs="Times New Roman"/>
          <w:b/>
          <w:color w:val="000000" w:themeColor="text1"/>
          <w:highlight w:val="none"/>
          <w14:textFill>
            <w14:solidFill>
              <w14:schemeClr w14:val="tx1"/>
            </w14:solidFill>
          </w14:textFill>
        </w:rPr>
        <w:t xml:space="preserve">一、评标方法</w:t>
      </w:r>
      <w:bookmarkEnd w:id="234"/>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采用综合评分法，评标结果按评审后得分由高到低顺序排列。得分相同的，按投标报价由低到高顺序排列。得分且投标报价相同的，按服务方案得分由高到低顺序排列。</w:t>
      </w:r>
      <w:r>
        <w:rPr>
          <w:rFonts w:hint="eastAsia" w:cs="宋体"/>
          <w:color w:val="000000" w:themeColor="text1"/>
          <w:sz w:val="24"/>
          <w:szCs w:val="24"/>
          <w:highlight w:val="none"/>
          <w:lang w:val="en-US"/>
          <w14:textFill>
            <w14:solidFill>
              <w14:schemeClr w14:val="tx1"/>
            </w14:solidFill>
          </w14:textFill>
        </w:rPr>
        <w:t xml:space="preserve">在</w:t>
      </w:r>
      <w:r>
        <w:rPr>
          <w:rFonts w:hint="eastAsia" w:cs="宋体"/>
          <w:color w:val="000000" w:themeColor="text1"/>
          <w:sz w:val="24"/>
          <w:szCs w:val="24"/>
          <w:highlight w:val="none"/>
          <w14:textFill>
            <w14:solidFill>
              <w14:schemeClr w14:val="tx1"/>
            </w14:solidFill>
          </w14:textFill>
        </w:rPr>
        <w:t xml:space="preserve">投标文件满足招标文件全部实质性要求</w:t>
      </w:r>
      <w:r>
        <w:rPr>
          <w:rFonts w:hint="eastAsia" w:cs="宋体"/>
          <w:color w:val="000000" w:themeColor="text1"/>
          <w:sz w:val="24"/>
          <w:szCs w:val="24"/>
          <w:highlight w:val="none"/>
          <w:lang w:val="en-US"/>
          <w14:textFill>
            <w14:solidFill>
              <w14:schemeClr w14:val="tx1"/>
            </w14:solidFill>
          </w14:textFill>
        </w:rPr>
        <w:t xml:space="preserve">的供应商中</w:t>
      </w:r>
      <w:r>
        <w:rPr>
          <w:rFonts w:hint="eastAsia" w:cs="宋体"/>
          <w:color w:val="000000" w:themeColor="text1"/>
          <w:sz w:val="24"/>
          <w:szCs w:val="24"/>
          <w:highlight w:val="none"/>
          <w14:textFill>
            <w14:solidFill>
              <w14:schemeClr w14:val="tx1"/>
            </w14:solidFill>
          </w14:textFill>
        </w:rPr>
        <w:t xml:space="preserve">，按照评审得分</w:t>
      </w:r>
      <w:r>
        <w:rPr>
          <w:rFonts w:hint="eastAsia" w:cs="宋体"/>
          <w:color w:val="000000" w:themeColor="text1"/>
          <w:sz w:val="24"/>
          <w:szCs w:val="24"/>
          <w:highlight w:val="none"/>
          <w:lang w:val="en-US"/>
          <w14:textFill>
            <w14:solidFill>
              <w14:schemeClr w14:val="tx1"/>
            </w14:solidFill>
          </w14:textFill>
        </w:rPr>
        <w:t xml:space="preserve">由高到低</w:t>
      </w:r>
      <w:r>
        <w:rPr>
          <w:rFonts w:hint="eastAsia" w:cs="宋体"/>
          <w:color w:val="000000" w:themeColor="text1"/>
          <w:sz w:val="24"/>
          <w:szCs w:val="24"/>
          <w:highlight w:val="none"/>
          <w14:textFill>
            <w14:solidFill>
              <w14:schemeClr w14:val="tx1"/>
            </w14:solidFill>
          </w14:textFill>
        </w:rPr>
        <w:t xml:space="preserve">选取</w:t>
      </w:r>
      <w:r>
        <w:rPr>
          <w:rFonts w:hint="eastAsia"/>
          <w:color w:val="000000" w:themeColor="text1"/>
          <w:sz w:val="24"/>
          <w:szCs w:val="24"/>
          <w:highlight w:val="none"/>
          <w:lang w:val="en-US"/>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名</w:t>
      </w:r>
      <w:r>
        <w:rPr>
          <w:rFonts w:hint="eastAsia" w:cs="宋体"/>
          <w:color w:val="000000" w:themeColor="text1"/>
          <w:sz w:val="24"/>
          <w:szCs w:val="24"/>
          <w:highlight w:val="none"/>
          <w14:textFill>
            <w14:solidFill>
              <w14:schemeClr w14:val="tx1"/>
            </w14:solidFill>
          </w14:textFill>
        </w:rPr>
        <w:t xml:space="preserve">中标候选人。</w:t>
      </w:r>
      <w:r/>
    </w:p>
    <w:p>
      <w:pPr>
        <w:pStyle w:val="724"/>
        <w:rPr>
          <w:rFonts w:cs="Times New Roman"/>
          <w:b/>
          <w:color w:val="000000" w:themeColor="text1"/>
          <w:highlight w:val="none"/>
          <w14:textFill>
            <w14:solidFill>
              <w14:schemeClr w14:val="tx1"/>
            </w14:solidFill>
          </w14:textFill>
        </w:rPr>
      </w:pPr>
      <w:r/>
      <w:bookmarkStart w:id="235" w:name="_Toc1647"/>
      <w:r>
        <w:rPr>
          <w:rFonts w:hint="eastAsia" w:cs="Times New Roman"/>
          <w:b/>
          <w:color w:val="000000" w:themeColor="text1"/>
          <w:highlight w:val="none"/>
          <w14:textFill>
            <w14:solidFill>
              <w14:schemeClr w14:val="tx1"/>
            </w14:solidFill>
          </w14:textFill>
        </w:rPr>
        <w:t xml:space="preserve">二、小微企业价格扣除</w:t>
      </w:r>
      <w:bookmarkEnd w:id="235"/>
      <w:r/>
      <w:r/>
    </w:p>
    <w:p>
      <w:pPr>
        <w:pStyle w:val="1142"/>
        <w:ind w:firstLine="480"/>
        <w:rPr>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1</w:t>
      </w:r>
      <w:r>
        <w:rPr>
          <w:rFonts w:hint="eastAsia" w:cs="宋体"/>
          <w:color w:val="000000" w:themeColor="text1"/>
          <w:sz w:val="24"/>
          <w:szCs w:val="24"/>
          <w:highlight w:val="none"/>
          <w:lang w:val="en-US"/>
          <w14:textFill>
            <w14:solidFill>
              <w14:schemeClr w14:val="tx1"/>
            </w14:solidFill>
          </w14:textFill>
        </w:rPr>
        <w:t xml:space="preserve">.</w:t>
      </w:r>
      <w:r>
        <w:rPr>
          <w:rFonts w:hint="eastAsia" w:cs="宋体"/>
          <w:color w:val="000000" w:themeColor="text1"/>
          <w:sz w:val="24"/>
          <w:szCs w:val="24"/>
          <w:highlight w:val="none"/>
          <w14:textFill>
            <w14:solidFill>
              <w14:schemeClr w14:val="tx1"/>
            </w14:solidFill>
          </w14:textFill>
        </w:rPr>
        <w:t xml:space="preserve">本项目服务全部由小微企业承接的，对报价给予</w:t>
      </w:r>
      <w:r>
        <w:rPr>
          <w:rFonts w:hint="eastAsia"/>
          <w:color w:val="000000" w:themeColor="text1"/>
          <w:sz w:val="24"/>
          <w:szCs w:val="24"/>
          <w:highlight w:val="none"/>
          <w14:textFill>
            <w14:solidFill>
              <w14:schemeClr w14:val="tx1"/>
            </w14:solidFill>
          </w14:textFill>
        </w:rPr>
        <w:t xml:space="preserve">10%</w:t>
      </w:r>
      <w:r>
        <w:rPr>
          <w:rFonts w:hint="eastAsia" w:cs="宋体"/>
          <w:color w:val="000000" w:themeColor="text1"/>
          <w:sz w:val="24"/>
          <w:szCs w:val="24"/>
          <w:highlight w:val="none"/>
          <w14:textFill>
            <w14:solidFill>
              <w14:schemeClr w14:val="tx1"/>
            </w14:solidFill>
          </w14:textFill>
        </w:rPr>
        <w:t xml:space="preserve">的扣除，用扣除后的价格参与评审。</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14:textFill>
            <w14:solidFill>
              <w14:schemeClr w14:val="tx1"/>
            </w14:solidFill>
          </w14:textFill>
        </w:rPr>
        <w:t xml:space="preserve">2.</w:t>
      </w:r>
      <w:r>
        <w:rPr>
          <w:rFonts w:hint="eastAsia" w:cs="宋体"/>
          <w:color w:val="000000" w:themeColor="text1"/>
          <w:sz w:val="24"/>
          <w:szCs w:val="24"/>
          <w:highlight w:val="none"/>
          <w14:textFill>
            <w14:solidFill>
              <w14:schemeClr w14:val="tx1"/>
            </w14:solidFill>
          </w14:textFill>
        </w:rPr>
        <w:t xml:space="preserve">残疾人福利性单位视同小型、微型企业，给予</w:t>
      </w:r>
      <w:r>
        <w:rPr>
          <w:rFonts w:hint="eastAsia"/>
          <w:color w:val="000000" w:themeColor="text1"/>
          <w:sz w:val="24"/>
          <w:szCs w:val="24"/>
          <w:highlight w:val="none"/>
          <w:lang w:val="en-US"/>
          <w14:textFill>
            <w14:solidFill>
              <w14:schemeClr w14:val="tx1"/>
            </w14:solidFill>
          </w14:textFill>
        </w:rPr>
        <w:t xml:space="preserve">与小微企业相同</w:t>
      </w:r>
      <w:r>
        <w:rPr>
          <w:rFonts w:hint="eastAsia" w:cs="宋体"/>
          <w:color w:val="000000" w:themeColor="text1"/>
          <w:sz w:val="24"/>
          <w:szCs w:val="24"/>
          <w:highlight w:val="none"/>
          <w14:textFill>
            <w14:solidFill>
              <w14:schemeClr w14:val="tx1"/>
            </w14:solidFill>
          </w14:textFill>
        </w:rPr>
        <w:t xml:space="preserve">的价格扣除，用扣除后的价格参与评审；监狱和戒毒企业视同小型、微型企业，给予</w:t>
      </w:r>
      <w:r>
        <w:rPr>
          <w:rFonts w:hint="eastAsia"/>
          <w:color w:val="000000" w:themeColor="text1"/>
          <w:sz w:val="24"/>
          <w:szCs w:val="24"/>
          <w:highlight w:val="none"/>
          <w:lang w:val="en-US"/>
          <w14:textFill>
            <w14:solidFill>
              <w14:schemeClr w14:val="tx1"/>
            </w14:solidFill>
          </w14:textFill>
        </w:rPr>
        <w:t xml:space="preserve">与小微企业相同</w:t>
      </w:r>
      <w:r>
        <w:rPr>
          <w:rFonts w:hint="eastAsia" w:cs="宋体"/>
          <w:color w:val="000000" w:themeColor="text1"/>
          <w:sz w:val="24"/>
          <w:szCs w:val="24"/>
          <w:highlight w:val="none"/>
          <w14:textFill>
            <w14:solidFill>
              <w14:schemeClr w14:val="tx1"/>
            </w14:solidFill>
          </w14:textFill>
        </w:rPr>
        <w:t xml:space="preserve">的价格扣除，用扣除后的价格参与评审。残疾人福利单位、监狱企业属于小型、微型企业的，不重复享受</w:t>
      </w:r>
      <w:r>
        <w:rPr>
          <w:rFonts w:hint="eastAsia" w:cs="宋体"/>
          <w:color w:val="000000" w:themeColor="text1"/>
          <w:sz w:val="24"/>
          <w:szCs w:val="24"/>
          <w:highlight w:val="none"/>
          <w:lang w:val="en-US"/>
          <w14:textFill>
            <w14:solidFill>
              <w14:schemeClr w14:val="tx1"/>
            </w14:solidFill>
          </w14:textFill>
        </w:rPr>
        <w:t xml:space="preserve">价格扣除</w:t>
      </w:r>
      <w:r>
        <w:rPr>
          <w:rFonts w:hint="eastAsia" w:cs="宋体"/>
          <w:color w:val="000000" w:themeColor="text1"/>
          <w:sz w:val="24"/>
          <w:szCs w:val="24"/>
          <w:highlight w:val="none"/>
          <w14:textFill>
            <w14:solidFill>
              <w14:schemeClr w14:val="tx1"/>
            </w14:solidFill>
          </w14:textFill>
        </w:rPr>
        <w:t xml:space="preserve">。</w:t>
      </w:r>
      <w:r/>
    </w:p>
    <w:p>
      <w:pPr>
        <w:pStyle w:val="1142"/>
        <w:ind w:firstLine="482"/>
        <w:rPr>
          <w:rFonts w:cs="宋体"/>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lang w:val="en-US"/>
          <w14:textFill>
            <w14:solidFill>
              <w14:schemeClr w14:val="tx1"/>
            </w14:solidFill>
          </w14:textFill>
        </w:rPr>
        <w:t xml:space="preserve">3.</w:t>
      </w:r>
      <w:r>
        <w:rPr>
          <w:rFonts w:hint="eastAsia" w:cs="宋体"/>
          <w:b/>
          <w:bCs/>
          <w:color w:val="000000" w:themeColor="text1"/>
          <w:sz w:val="24"/>
          <w:szCs w:val="24"/>
          <w:highlight w:val="none"/>
          <w14:textFill>
            <w14:solidFill>
              <w14:schemeClr w14:val="tx1"/>
            </w14:solidFill>
          </w14:textFill>
        </w:rPr>
        <w:t xml:space="preserve">上述价格扣除政策仅适用</w:t>
      </w:r>
      <w:r>
        <w:rPr>
          <w:rFonts w:hint="eastAsia" w:cs="宋体"/>
          <w:b/>
          <w:bCs/>
          <w:color w:val="000000" w:themeColor="text1"/>
          <w:sz w:val="24"/>
          <w:szCs w:val="24"/>
          <w:highlight w:val="none"/>
          <w:lang w:val="en-US"/>
          <w14:textFill>
            <w14:solidFill>
              <w14:schemeClr w14:val="tx1"/>
            </w14:solidFill>
          </w14:textFill>
        </w:rPr>
        <w:t xml:space="preserve">于</w:t>
      </w:r>
      <w:r>
        <w:rPr>
          <w:rFonts w:hint="eastAsia" w:cs="宋体"/>
          <w:b/>
          <w:bCs/>
          <w:color w:val="000000" w:themeColor="text1"/>
          <w:sz w:val="24"/>
          <w:szCs w:val="24"/>
          <w:highlight w:val="none"/>
          <w14:textFill>
            <w14:solidFill>
              <w14:schemeClr w14:val="tx1"/>
            </w14:solidFill>
          </w14:textFill>
        </w:rPr>
        <w:t xml:space="preserve">“</w:t>
      </w:r>
      <w:r>
        <w:rPr>
          <w:rFonts w:hint="eastAsia" w:cs="宋体"/>
          <w:b/>
          <w:bCs/>
          <w:color w:val="000000" w:themeColor="text1"/>
          <w:sz w:val="24"/>
          <w:szCs w:val="24"/>
          <w:highlight w:val="none"/>
          <w:lang w:val="en-US"/>
          <w14:textFill>
            <w14:solidFill>
              <w14:schemeClr w14:val="tx1"/>
            </w14:solidFill>
          </w14:textFill>
        </w:rPr>
        <w:t xml:space="preserve">非</w:t>
      </w:r>
      <w:r>
        <w:rPr>
          <w:rFonts w:hint="eastAsia" w:cs="宋体"/>
          <w:b/>
          <w:bCs/>
          <w:color w:val="000000" w:themeColor="text1"/>
          <w:sz w:val="24"/>
          <w:szCs w:val="24"/>
          <w:highlight w:val="none"/>
          <w14:textFill>
            <w14:solidFill>
              <w14:schemeClr w14:val="tx1"/>
            </w14:solidFill>
          </w14:textFill>
        </w:rPr>
        <w:t xml:space="preserve">专门面向中小企业采购项目”</w:t>
      </w:r>
      <w:r>
        <w:rPr>
          <w:rFonts w:hint="eastAsia" w:cs="宋体"/>
          <w:color w:val="000000" w:themeColor="text1"/>
          <w:sz w:val="24"/>
          <w:szCs w:val="24"/>
          <w:highlight w:val="none"/>
          <w14:textFill>
            <w14:solidFill>
              <w14:schemeClr w14:val="tx1"/>
            </w14:solidFill>
          </w14:textFill>
        </w:rPr>
        <w:t xml:space="preserve">。</w:t>
      </w:r>
      <w:r/>
    </w:p>
    <w:p>
      <w:pPr>
        <w:pStyle w:val="1142"/>
        <w:ind w:firstLine="480"/>
        <w:rPr>
          <w:rFonts w:cs="宋体"/>
          <w:color w:val="000000" w:themeColor="text1"/>
          <w:sz w:val="24"/>
          <w:szCs w:val="24"/>
          <w:highlight w:val="none"/>
          <w:lang w:val="en-US"/>
          <w14:textFill>
            <w14:solidFill>
              <w14:schemeClr w14:val="tx1"/>
            </w14:solidFill>
          </w14:textFill>
        </w:rPr>
      </w:pPr>
      <w:r>
        <w:rPr>
          <w:rFonts w:hint="eastAsia" w:cs="宋体"/>
          <w:color w:val="000000" w:themeColor="text1"/>
          <w:sz w:val="24"/>
          <w:szCs w:val="24"/>
          <w:highlight w:val="none"/>
          <w:lang w:val="en-US"/>
          <w14:textFill>
            <w14:solidFill>
              <w14:schemeClr w14:val="tx1"/>
            </w14:solidFill>
          </w14:textFill>
        </w:rPr>
        <w:t xml:space="preserve">备注：</w:t>
      </w:r>
      <w:r/>
    </w:p>
    <w:p>
      <w:pPr>
        <w:pStyle w:val="1142"/>
        <w:ind w:firstLine="480"/>
        <w:rPr>
          <w:rFonts w:cs="宋体"/>
          <w:color w:val="000000" w:themeColor="text1"/>
          <w:sz w:val="24"/>
          <w:szCs w:val="24"/>
          <w:highlight w:val="none"/>
          <w:lang w:val="en-US"/>
          <w14:textFill>
            <w14:solidFill>
              <w14:schemeClr w14:val="tx1"/>
            </w14:solidFill>
          </w14:textFill>
        </w:rPr>
      </w:pPr>
      <w:r>
        <w:rPr>
          <w:rFonts w:hint="eastAsia" w:cs="宋体"/>
          <w:color w:val="000000" w:themeColor="text1"/>
          <w:sz w:val="24"/>
          <w:szCs w:val="24"/>
          <w:highlight w:val="none"/>
          <w:lang w:val="en-US"/>
          <w14:textFill>
            <w14:solidFill>
              <w14:schemeClr w14:val="tx1"/>
            </w14:solidFill>
          </w14:textFill>
        </w:rPr>
        <w:t xml:space="preserve">（1）本项目如专门面向中小企业采购，则不执行价格扣除政策，</w:t>
      </w:r>
      <w:r>
        <w:rPr>
          <w:rFonts w:hint="eastAsia" w:cs="宋体"/>
          <w:color w:val="000000" w:themeColor="text1"/>
          <w:sz w:val="24"/>
          <w:szCs w:val="24"/>
          <w:highlight w:val="none"/>
          <w14:textFill>
            <w14:solidFill>
              <w14:schemeClr w14:val="tx1"/>
            </w14:solidFill>
          </w14:textFill>
        </w:rPr>
        <w:t xml:space="preserve">供应商应为中小微企业、监狱企业、残疾人福利性单位。</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w:t>
      </w:r>
      <w:r>
        <w:rPr>
          <w:rFonts w:hint="eastAsia" w:cs="宋体"/>
          <w:color w:val="000000" w:themeColor="text1"/>
          <w:sz w:val="24"/>
          <w:szCs w:val="24"/>
          <w:highlight w:val="none"/>
          <w:lang w:val="en-US"/>
          <w14:textFill>
            <w14:solidFill>
              <w14:schemeClr w14:val="tx1"/>
            </w14:solidFill>
          </w14:textFill>
        </w:rPr>
        <w:t xml:space="preserve">2</w:t>
      </w:r>
      <w:r>
        <w:rPr>
          <w:rFonts w:hint="eastAsia" w:cs="宋体"/>
          <w:color w:val="000000" w:themeColor="text1"/>
          <w:sz w:val="24"/>
          <w:szCs w:val="24"/>
          <w:highlight w:val="none"/>
          <w14:textFill>
            <w14:solidFill>
              <w14:schemeClr w14:val="tx1"/>
            </w14:solidFill>
          </w14:textFill>
        </w:rPr>
        <w:t xml:space="preserve">）本项目</w:t>
      </w:r>
      <w:r>
        <w:rPr>
          <w:rFonts w:hint="eastAsia" w:cs="宋体"/>
          <w:color w:val="000000" w:themeColor="text1"/>
          <w:sz w:val="24"/>
          <w:szCs w:val="24"/>
          <w:highlight w:val="none"/>
          <w:lang w:val="en-US"/>
          <w14:textFill>
            <w14:solidFill>
              <w14:schemeClr w14:val="tx1"/>
            </w14:solidFill>
          </w14:textFill>
        </w:rPr>
        <w:t xml:space="preserve">如允许</w:t>
      </w:r>
      <w:r>
        <w:rPr>
          <w:rFonts w:hint="eastAsia" w:cs="宋体"/>
          <w:color w:val="000000" w:themeColor="text1"/>
          <w:sz w:val="24"/>
          <w:szCs w:val="24"/>
          <w:highlight w:val="none"/>
          <w14:textFill>
            <w14:solidFill>
              <w14:schemeClr w14:val="tx1"/>
            </w14:solidFill>
          </w14:textFill>
        </w:rPr>
        <w:t xml:space="preserve">联合体参加投标或</w:t>
      </w:r>
      <w:r>
        <w:rPr>
          <w:rFonts w:hint="eastAsia" w:cs="宋体"/>
          <w:color w:val="000000" w:themeColor="text1"/>
          <w:sz w:val="24"/>
          <w:szCs w:val="24"/>
          <w:highlight w:val="none"/>
          <w:lang w:val="en-US"/>
          <w14:textFill>
            <w14:solidFill>
              <w14:schemeClr w14:val="tx1"/>
            </w14:solidFill>
          </w14:textFill>
        </w:rPr>
        <w:t xml:space="preserve">允许</w:t>
      </w:r>
      <w:r>
        <w:rPr>
          <w:rFonts w:hint="eastAsia" w:cs="宋体"/>
          <w:color w:val="000000" w:themeColor="text1"/>
          <w:sz w:val="24"/>
          <w:szCs w:val="24"/>
          <w:highlight w:val="none"/>
          <w14:textFill>
            <w14:solidFill>
              <w14:schemeClr w14:val="tx1"/>
            </w14:solidFill>
          </w14:textFill>
        </w:rPr>
        <w:t xml:space="preserve">分包履行合同，大中型企业与小微型企业（</w:t>
      </w:r>
      <w:r>
        <w:rPr>
          <w:rFonts w:hint="eastAsia" w:cs="宋体"/>
          <w:color w:val="000000" w:themeColor="text1"/>
          <w:sz w:val="24"/>
          <w:szCs w:val="24"/>
          <w:highlight w:val="none"/>
          <w:lang w:val="en-US"/>
          <w14:textFill>
            <w14:solidFill>
              <w14:schemeClr w14:val="tx1"/>
            </w14:solidFill>
          </w14:textFill>
        </w:rPr>
        <w:t xml:space="preserve">或</w:t>
      </w:r>
      <w:r>
        <w:rPr>
          <w:rFonts w:hint="eastAsia" w:cs="宋体"/>
          <w:color w:val="000000" w:themeColor="text1"/>
          <w:sz w:val="24"/>
          <w:szCs w:val="24"/>
          <w:highlight w:val="none"/>
          <w14:textFill>
            <w14:solidFill>
              <w14:schemeClr w14:val="tx1"/>
            </w14:solidFill>
          </w14:textFill>
        </w:rPr>
        <w:t xml:space="preserve">残疾人福利</w:t>
      </w:r>
      <w:r>
        <w:rPr>
          <w:rFonts w:hint="eastAsia" w:cs="宋体"/>
          <w:color w:val="000000" w:themeColor="text1"/>
          <w:sz w:val="24"/>
          <w:szCs w:val="24"/>
          <w:highlight w:val="none"/>
          <w:lang w:val="en-US"/>
          <w14:textFill>
            <w14:solidFill>
              <w14:schemeClr w14:val="tx1"/>
            </w14:solidFill>
          </w14:textFill>
        </w:rPr>
        <w:t xml:space="preserve">性</w:t>
      </w:r>
      <w:r>
        <w:rPr>
          <w:rFonts w:hint="eastAsia" w:cs="宋体"/>
          <w:color w:val="000000" w:themeColor="text1"/>
          <w:sz w:val="24"/>
          <w:szCs w:val="24"/>
          <w:highlight w:val="none"/>
          <w14:textFill>
            <w14:solidFill>
              <w14:schemeClr w14:val="tx1"/>
            </w14:solidFill>
          </w14:textFill>
        </w:rPr>
        <w:t xml:space="preserve">单位、监狱企业）组成联合体，或者向一家或多家小微型企业（</w:t>
      </w:r>
      <w:r>
        <w:rPr>
          <w:rFonts w:hint="eastAsia" w:cs="宋体"/>
          <w:color w:val="000000" w:themeColor="text1"/>
          <w:sz w:val="24"/>
          <w:szCs w:val="24"/>
          <w:highlight w:val="none"/>
          <w:lang w:val="en-US"/>
          <w14:textFill>
            <w14:solidFill>
              <w14:schemeClr w14:val="tx1"/>
            </w14:solidFill>
          </w14:textFill>
        </w:rPr>
        <w:t xml:space="preserve">或</w:t>
      </w:r>
      <w:r>
        <w:rPr>
          <w:rFonts w:hint="eastAsia" w:cs="宋体"/>
          <w:color w:val="000000" w:themeColor="text1"/>
          <w:sz w:val="24"/>
          <w:szCs w:val="24"/>
          <w:highlight w:val="none"/>
          <w14:textFill>
            <w14:solidFill>
              <w14:schemeClr w14:val="tx1"/>
            </w14:solidFill>
          </w14:textFill>
        </w:rPr>
        <w:t xml:space="preserve">残疾人福利</w:t>
      </w:r>
      <w:r>
        <w:rPr>
          <w:rFonts w:hint="eastAsia" w:cs="宋体"/>
          <w:color w:val="000000" w:themeColor="text1"/>
          <w:sz w:val="24"/>
          <w:szCs w:val="24"/>
          <w:highlight w:val="none"/>
          <w:lang w:val="en-US"/>
          <w14:textFill>
            <w14:solidFill>
              <w14:schemeClr w14:val="tx1"/>
            </w14:solidFill>
          </w14:textFill>
        </w:rPr>
        <w:t xml:space="preserve">性</w:t>
      </w:r>
      <w:r>
        <w:rPr>
          <w:rFonts w:hint="eastAsia" w:cs="宋体"/>
          <w:color w:val="000000" w:themeColor="text1"/>
          <w:sz w:val="24"/>
          <w:szCs w:val="24"/>
          <w:highlight w:val="none"/>
          <w14:textFill>
            <w14:solidFill>
              <w14:schemeClr w14:val="tx1"/>
            </w14:solidFill>
          </w14:textFill>
        </w:rPr>
        <w:t xml:space="preserve">单位、监狱企业）分包，联合</w:t>
      </w:r>
      <w:r>
        <w:rPr>
          <w:rFonts w:hint="eastAsia" w:cs="宋体"/>
          <w:color w:val="000000" w:themeColor="text1"/>
          <w:sz w:val="24"/>
          <w:szCs w:val="24"/>
          <w:highlight w:val="none"/>
          <w:lang w:val="en-US"/>
          <w14:textFill>
            <w14:solidFill>
              <w14:schemeClr w14:val="tx1"/>
            </w14:solidFill>
          </w14:textFill>
        </w:rPr>
        <w:t xml:space="preserve">体</w:t>
      </w:r>
      <w:r>
        <w:rPr>
          <w:rFonts w:hint="eastAsia" w:cs="宋体"/>
          <w:color w:val="000000" w:themeColor="text1"/>
          <w:sz w:val="24"/>
          <w:szCs w:val="24"/>
          <w:highlight w:val="none"/>
          <w14:textFill>
            <w14:solidFill>
              <w14:schemeClr w14:val="tx1"/>
            </w14:solidFill>
          </w14:textFill>
        </w:rPr>
        <w:t xml:space="preserve">协议或者分包意向协议中约定小微型企业（</w:t>
      </w:r>
      <w:r>
        <w:rPr>
          <w:rFonts w:hint="eastAsia" w:cs="宋体"/>
          <w:color w:val="000000" w:themeColor="text1"/>
          <w:sz w:val="24"/>
          <w:szCs w:val="24"/>
          <w:highlight w:val="none"/>
          <w:lang w:val="en-US"/>
          <w14:textFill>
            <w14:solidFill>
              <w14:schemeClr w14:val="tx1"/>
            </w14:solidFill>
          </w14:textFill>
        </w:rPr>
        <w:t xml:space="preserve">或</w:t>
      </w:r>
      <w:r>
        <w:rPr>
          <w:rFonts w:hint="eastAsia" w:cs="宋体"/>
          <w:color w:val="000000" w:themeColor="text1"/>
          <w:sz w:val="24"/>
          <w:szCs w:val="24"/>
          <w:highlight w:val="none"/>
          <w14:textFill>
            <w14:solidFill>
              <w14:schemeClr w14:val="tx1"/>
            </w14:solidFill>
          </w14:textFill>
        </w:rPr>
        <w:t xml:space="preserve">残疾人福利</w:t>
      </w:r>
      <w:r>
        <w:rPr>
          <w:rFonts w:hint="eastAsia" w:cs="宋体"/>
          <w:color w:val="000000" w:themeColor="text1"/>
          <w:sz w:val="24"/>
          <w:szCs w:val="24"/>
          <w:highlight w:val="none"/>
          <w:lang w:val="en-US"/>
          <w14:textFill>
            <w14:solidFill>
              <w14:schemeClr w14:val="tx1"/>
            </w14:solidFill>
          </w14:textFill>
        </w:rPr>
        <w:t xml:space="preserve">性</w:t>
      </w:r>
      <w:r>
        <w:rPr>
          <w:rFonts w:hint="eastAsia" w:cs="宋体"/>
          <w:color w:val="000000" w:themeColor="text1"/>
          <w:sz w:val="24"/>
          <w:szCs w:val="24"/>
          <w:highlight w:val="none"/>
          <w14:textFill>
            <w14:solidFill>
              <w14:schemeClr w14:val="tx1"/>
            </w14:solidFill>
          </w14:textFill>
        </w:rPr>
        <w:t xml:space="preserve">单位、监狱企业）的合同份额占合同总金额30%以上的，给予联合体或者大中型企业</w:t>
      </w:r>
      <w:r>
        <w:rPr>
          <w:rFonts w:hint="eastAsia" w:cs="宋体"/>
          <w:color w:val="000000" w:themeColor="text1"/>
          <w:sz w:val="24"/>
          <w:szCs w:val="24"/>
          <w:highlight w:val="none"/>
          <w:lang w:val="en-US"/>
          <w14:textFill>
            <w14:solidFill>
              <w14:schemeClr w14:val="tx1"/>
            </w14:solidFill>
          </w14:textFill>
        </w:rPr>
        <w:t xml:space="preserve">报价</w:t>
      </w:r>
      <w:r>
        <w:rPr>
          <w:rFonts w:hint="eastAsia" w:cs="宋体"/>
          <w:color w:val="000000" w:themeColor="text1"/>
          <w:sz w:val="24"/>
          <w:szCs w:val="24"/>
          <w:highlight w:val="none"/>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的扣除，</w:t>
      </w:r>
      <w:r>
        <w:rPr>
          <w:rFonts w:hint="eastAsia" w:cs="宋体"/>
          <w:color w:val="000000" w:themeColor="text1"/>
          <w:sz w:val="24"/>
          <w:szCs w:val="24"/>
          <w:highlight w:val="none"/>
          <w14:textFill>
            <w14:solidFill>
              <w14:schemeClr w14:val="tx1"/>
            </w14:solidFill>
          </w14:textFill>
        </w:rPr>
        <w:t xml:space="preserve">用扣除后的价格参与评审。</w:t>
      </w:r>
      <w:r/>
    </w:p>
    <w:p>
      <w:pPr>
        <w:pStyle w:val="1142"/>
        <w:ind w:firstLine="480"/>
        <w:rPr>
          <w:rFonts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lang w:val="en-US"/>
          <w14:textFill>
            <w14:solidFill>
              <w14:schemeClr w14:val="tx1"/>
            </w14:solidFill>
          </w14:textFill>
        </w:rPr>
        <w:t xml:space="preserve">（3）</w:t>
      </w:r>
      <w:r>
        <w:rPr>
          <w:rFonts w:hint="eastAsia" w:cs="宋体"/>
          <w:color w:val="000000" w:themeColor="text1"/>
          <w:sz w:val="24"/>
          <w:szCs w:val="24"/>
          <w:highlight w:val="none"/>
          <w14:textFill>
            <w14:solidFill>
              <w14:schemeClr w14:val="tx1"/>
            </w14:solidFill>
          </w14:textFill>
        </w:rPr>
        <w:t xml:space="preserve">联合体各方均为小型、微型企业（</w:t>
      </w:r>
      <w:r>
        <w:rPr>
          <w:rFonts w:hint="eastAsia" w:cs="宋体"/>
          <w:color w:val="000000" w:themeColor="text1"/>
          <w:sz w:val="24"/>
          <w:szCs w:val="24"/>
          <w:highlight w:val="none"/>
          <w:lang w:val="en-US"/>
          <w14:textFill>
            <w14:solidFill>
              <w14:schemeClr w14:val="tx1"/>
            </w14:solidFill>
          </w14:textFill>
        </w:rPr>
        <w:t xml:space="preserve">或</w:t>
      </w:r>
      <w:r>
        <w:rPr>
          <w:rFonts w:hint="eastAsia" w:cs="宋体"/>
          <w:color w:val="000000" w:themeColor="text1"/>
          <w:sz w:val="24"/>
          <w:szCs w:val="24"/>
          <w:highlight w:val="none"/>
          <w14:textFill>
            <w14:solidFill>
              <w14:schemeClr w14:val="tx1"/>
            </w14:solidFill>
          </w14:textFill>
        </w:rPr>
        <w:t xml:space="preserve">残疾人福利</w:t>
      </w:r>
      <w:r>
        <w:rPr>
          <w:rFonts w:hint="eastAsia" w:cs="宋体"/>
          <w:color w:val="000000" w:themeColor="text1"/>
          <w:sz w:val="24"/>
          <w:szCs w:val="24"/>
          <w:highlight w:val="none"/>
          <w:lang w:val="en-US"/>
          <w14:textFill>
            <w14:solidFill>
              <w14:schemeClr w14:val="tx1"/>
            </w14:solidFill>
          </w14:textFill>
        </w:rPr>
        <w:t xml:space="preserve">性</w:t>
      </w:r>
      <w:r>
        <w:rPr>
          <w:rFonts w:hint="eastAsia" w:cs="宋体"/>
          <w:color w:val="000000" w:themeColor="text1"/>
          <w:sz w:val="24"/>
          <w:szCs w:val="24"/>
          <w:highlight w:val="none"/>
          <w14:textFill>
            <w14:solidFill>
              <w14:schemeClr w14:val="tx1"/>
            </w14:solidFill>
          </w14:textFill>
        </w:rPr>
        <w:t xml:space="preserve">单位、监狱企业）的，给予</w:t>
      </w:r>
      <w:r>
        <w:rPr>
          <w:rFonts w:hint="eastAsia" w:cs="宋体"/>
          <w:color w:val="000000" w:themeColor="text1"/>
          <w:sz w:val="24"/>
          <w:szCs w:val="24"/>
          <w:highlight w:val="none"/>
          <w:lang w:val="en-US"/>
          <w14:textFill>
            <w14:solidFill>
              <w14:schemeClr w14:val="tx1"/>
            </w14:solidFill>
          </w14:textFill>
        </w:rPr>
        <w:t xml:space="preserve">与小微企业相同</w:t>
      </w:r>
      <w:r>
        <w:rPr>
          <w:rFonts w:hint="eastAsia" w:cs="宋体"/>
          <w:color w:val="000000" w:themeColor="text1"/>
          <w:sz w:val="24"/>
          <w:szCs w:val="24"/>
          <w:highlight w:val="none"/>
          <w14:textFill>
            <w14:solidFill>
              <w14:schemeClr w14:val="tx1"/>
            </w14:solidFill>
          </w14:textFill>
        </w:rPr>
        <w:t xml:space="preserve">的价格扣除，用扣除后的价格参与评审。</w:t>
      </w:r>
      <w:r/>
    </w:p>
    <w:p>
      <w:pPr>
        <w:jc w:val="left"/>
        <w:widowControl/>
        <w:rPr>
          <w:rFonts w:ascii="宋体" w:hAnsi="宋体" w:cs="宋体"/>
          <w:color w:val="000000" w:themeColor="text1"/>
          <w:sz w:val="24"/>
          <w:szCs w:val="21"/>
          <w:highlight w:val="none"/>
          <w:lang w:val="zh-CN"/>
          <w14:textFill>
            <w14:solidFill>
              <w14:schemeClr w14:val="tx1"/>
            </w14:solidFill>
          </w14:textFill>
        </w:rPr>
      </w:pPr>
      <w:r>
        <w:rPr>
          <w:rFonts w:cs="宋体"/>
          <w:color w:val="000000" w:themeColor="text1"/>
          <w:highlight w:val="none"/>
          <w14:textFill>
            <w14:solidFill>
              <w14:schemeClr w14:val="tx1"/>
            </w14:solidFill>
          </w14:textFill>
        </w:rPr>
        <w:br w:type="page" w:clear="all"/>
      </w:r>
      <w:r/>
    </w:p>
    <w:p>
      <w:pPr>
        <w:pStyle w:val="724"/>
        <w:rPr>
          <w:rFonts w:cs="Times New Roman"/>
          <w:b/>
          <w:color w:val="000000" w:themeColor="text1"/>
          <w:highlight w:val="none"/>
          <w14:textFill>
            <w14:solidFill>
              <w14:schemeClr w14:val="tx1"/>
            </w14:solidFill>
          </w14:textFill>
        </w:rPr>
      </w:pPr>
      <w:r/>
      <w:bookmarkStart w:id="236" w:name="_Toc4133"/>
      <w:r>
        <w:rPr>
          <w:rFonts w:hint="eastAsia" w:cs="Times New Roman"/>
          <w:b/>
          <w:color w:val="000000" w:themeColor="text1"/>
          <w:highlight w:val="none"/>
          <w14:textFill>
            <w14:solidFill>
              <w14:schemeClr w14:val="tx1"/>
            </w14:solidFill>
          </w14:textFill>
        </w:rPr>
        <w:t xml:space="preserve">三、评标标准</w:t>
      </w:r>
      <w:bookmarkEnd w:id="236"/>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950"/>
        <w:gridCol w:w="7886"/>
      </w:tblGrid>
      <w:tr>
        <w:trPr>
          <w:trHeight w:val="427"/>
        </w:trPr>
        <w:tc>
          <w:tcPr>
            <w:shd w:val="clear" w:color="auto" w:fill="ffffff"/>
            <w:tcW w:w="900" w:type="dxa"/>
            <w:vAlign w:val="center"/>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项 目</w:t>
            </w:r>
            <w:r/>
          </w:p>
        </w:tc>
        <w:tc>
          <w:tcPr>
            <w:gridSpan w:val="2"/>
            <w:shd w:val="clear" w:color="auto" w:fill="ffffff"/>
            <w:tcW w:w="8836" w:type="dxa"/>
            <w:vAlign w:val="center"/>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  分  标  准</w:t>
            </w:r>
            <w:r/>
          </w:p>
        </w:tc>
      </w:tr>
      <w:tr>
        <w:trPr/>
        <w:tc>
          <w:tcPr>
            <w:shd w:val="clear" w:color="auto" w:fill="ffffff"/>
            <w:tcW w:w="90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报价</w:t>
            </w:r>
            <w:r/>
          </w:p>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（30分）</w:t>
            </w:r>
            <w:r/>
          </w:p>
        </w:tc>
        <w:tc>
          <w:tcPr>
            <w:gridSpan w:val="2"/>
            <w:shd w:val="clear" w:color="auto" w:fill="ffffff"/>
            <w:tcW w:w="8836" w:type="dxa"/>
            <w:vAlign w:val="center"/>
            <w:textDirection w:val="lrTb"/>
            <w:noWrap w:val="false"/>
          </w:tcPr>
          <w:p>
            <w:pPr>
              <w:tabs>
                <w:tab w:val="left" w:pos="-3420" w:leader="none"/>
                <w:tab w:val="left" w:pos="162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投标报价低于或等于项目预算的，为有效投标报价。超项目预算的投标报价为无效投标报价。无效投标报价的投标文件不进行评审，也不得标。</w:t>
            </w:r>
            <w:r/>
          </w:p>
          <w:p>
            <w:pPr>
              <w:tabs>
                <w:tab w:val="left" w:pos="-3420" w:leader="none"/>
                <w:tab w:val="left" w:pos="162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在所有有效投标报价中满足招标文件要求，且投标价格最低的投标报价为评标基准价，其价格分为30分，其他投标人的价格分按照下列公式计算（计算结果四舍五入保留两位小数）。</w:t>
            </w:r>
            <w:r/>
          </w:p>
          <w:p>
            <w:pPr>
              <w:tabs>
                <w:tab w:val="left" w:pos="-3420" w:leader="none"/>
                <w:tab w:val="left" w:pos="162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投标报价得分＝（评标基准价/投标报价）×30×100%</w:t>
            </w:r>
            <w:r/>
          </w:p>
        </w:tc>
      </w:tr>
      <w:tr>
        <w:trPr/>
        <w:tc>
          <w:tcPr>
            <w:shd w:val="clear" w:color="auto" w:fill="ffffff"/>
            <w:tcW w:w="900" w:type="dxa"/>
            <w:vAlign w:val="center"/>
            <w:vMerge w:val="restart"/>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技术方案</w:t>
            </w:r>
            <w:r/>
          </w:p>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w:t>
            </w:r>
            <w:r>
              <w:rPr>
                <w:rFonts w:hint="eastAsia" w:ascii="宋体" w:hAnsi="宋体" w:cs="宋体"/>
                <w:b/>
                <w:bCs/>
                <w:color w:val="000000" w:themeColor="text1"/>
                <w:szCs w:val="21"/>
                <w:highlight w:val="none"/>
                <w:lang w:val="en-US" w:eastAsia="zh-CN"/>
                <w14:textFill>
                  <w14:solidFill>
                    <w14:schemeClr w14:val="tx1"/>
                  </w14:solidFill>
                </w14:textFill>
              </w:rPr>
              <w:t xml:space="preserve">0</w:t>
            </w:r>
            <w:r>
              <w:rPr>
                <w:rFonts w:hint="eastAsia" w:ascii="宋体" w:hAnsi="宋体" w:cs="宋体"/>
                <w:b/>
                <w:bCs/>
                <w:color w:val="000000" w:themeColor="text1"/>
                <w:szCs w:val="21"/>
                <w:highlight w:val="none"/>
                <w14:textFill>
                  <w14:solidFill>
                    <w14:schemeClr w14:val="tx1"/>
                  </w14:solidFill>
                </w14:textFill>
              </w:rPr>
              <w:t xml:space="preserve">分）</w:t>
            </w:r>
            <w:r/>
          </w:p>
        </w:tc>
        <w:tc>
          <w:tcPr>
            <w:shd w:val="clear" w:color="auto" w:fill="ffffff"/>
            <w:tcW w:w="95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文案策划方案</w:t>
            </w:r>
            <w:r/>
          </w:p>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5</w:t>
            </w:r>
            <w:r>
              <w:rPr>
                <w:rFonts w:hint="eastAsia" w:ascii="宋体" w:hAnsi="宋体" w:cs="宋体"/>
                <w:b/>
                <w:bCs/>
                <w:color w:val="000000" w:themeColor="text1"/>
                <w:szCs w:val="21"/>
                <w:highlight w:val="none"/>
                <w14:textFill>
                  <w14:solidFill>
                    <w14:schemeClr w14:val="tx1"/>
                  </w14:solidFill>
                </w14:textFill>
              </w:rPr>
              <w:t xml:space="preserve">分）</w:t>
            </w:r>
            <w:r/>
          </w:p>
        </w:tc>
        <w:tc>
          <w:tcPr>
            <w:shd w:val="clear" w:color="auto" w:fill="ffffff"/>
            <w:tcW w:w="7886" w:type="dxa"/>
            <w:vAlign w:val="center"/>
            <w:textDirection w:val="lrTb"/>
            <w:noWrap w:val="false"/>
          </w:tcPr>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立足莫愁湖文化特色，以“莫愁”文化为人文叙事主线、以人工智能（AI）为核心展陈手法，兼顾史料严谨性、文化传播性与文物保护要求，围绕莫愁湖水文地理变迁与历史沿革、朱元璋与徐达君臣对弈佳话、莫愁女民间传说与历代诗文画作等内容展开系统策划，实现历史文化、水文地理与数字科技展陈内容的有机融合，构建完整的布展文案策划方案，具体如下：</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1.需满足采购需求有完整的展览总体思路，包括展区标题、核心内容、展示形式；</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展览总体思路全部要素无缺项，策展内容完成全部展区文字及图片深化，展区标题、文字、图片完整打磨到位，展览叙事完整连贯，内容详实，得</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分，未提供不得分；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2.需满足采购需求有完整的策展内容，实现对策展大纲标题的内容深化，包括标题名、上墙展示文字及图片内容；</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展览总体思路基本完整，布展文字内容符合设计单位大纲，部分策展内容上墙文字或图片深化，展览叙事基本通顺，得</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w:t>
            </w:r>
            <w:r/>
          </w:p>
          <w:p>
            <w:pPr>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展览总体思路中2项及以上要素缺失，策展内容大面积未深化，上墙文字、图片缺漏严重，内容单薄或缺失，得</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分，未提供不得分</w:t>
            </w:r>
            <w:r>
              <w:rPr>
                <w:rFonts w:hint="eastAsia" w:ascii="宋体" w:hAnsi="宋体" w:cs="宋体"/>
                <w:bCs/>
                <w:color w:val="000000" w:themeColor="text1"/>
                <w:szCs w:val="21"/>
                <w:highlight w:val="none"/>
                <w:lang w:eastAsia="zh-CN"/>
                <w14:textFill>
                  <w14:solidFill>
                    <w14:schemeClr w14:val="tx1"/>
                  </w14:solidFill>
                </w14:textFill>
              </w:rPr>
              <w:t xml:space="preserve">。</w:t>
            </w:r>
            <w:r/>
          </w:p>
        </w:tc>
      </w:tr>
      <w:tr>
        <w:trPr/>
        <w:tc>
          <w:tcPr>
            <w:tcW w:w="900" w:type="dxa"/>
            <w:vMerge w:val="continue"/>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shd w:val="clear" w:color="auto" w:fill="ffffff"/>
            <w:tcW w:w="95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平面布置方案</w:t>
            </w:r>
            <w:r/>
          </w:p>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（5分）</w:t>
            </w:r>
            <w:r/>
          </w:p>
        </w:tc>
        <w:tc>
          <w:tcPr>
            <w:shd w:val="clear" w:color="auto" w:fill="ffffff"/>
            <w:tcW w:w="7886" w:type="dxa"/>
            <w:vAlign w:val="center"/>
            <w:textDirection w:val="lrTb"/>
            <w:noWrap w:val="false"/>
          </w:tcPr>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1.需立足莫愁湖历史文脉，围绕莫愁湖文脉故事、水文地理和历史文化，充分统筹华严庵、胜棋楼、郁金堂、苏合厢等建筑，完成各展区平面布置。</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方案内项目内容需与设计大纲一一对应并提供布展点位图，图上标明展示各区域主题，展示内容介绍，得1分，不提供不得分；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2、需满足采购需求有合理组织参观动线，衔接园林游线与数字人导览流线，直观展现布局动线图，按项目具体内容展示13项展项点位标注；</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动线需按照采购需求要求的13个展项进行参观，并标明数字人出现位置及演示动画，得4分；</w:t>
            </w:r>
            <w:r/>
          </w:p>
          <w:p>
            <w:pPr>
              <w:ind w:firstLine="420"/>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注：方案内项目内容没有完全对应设计单位大纲，布展点位图标注有缺失，布展点位图每缺一个点位扣0.5分，扣完4分为止。</w:t>
            </w:r>
            <w:r/>
          </w:p>
        </w:tc>
      </w:tr>
      <w:tr>
        <w:trPr/>
        <w:tc>
          <w:tcPr>
            <w:tcW w:w="900" w:type="dxa"/>
            <w:vMerge w:val="continue"/>
            <w:textDirection w:val="lrTb"/>
            <w:noWrap w:val="false"/>
          </w:tcPr>
          <w:p>
            <w:pPr>
              <w:pStyle w:val="724"/>
              <w:rPr>
                <w:rFonts w:cs="Times New Roman"/>
                <w:b/>
                <w:color w:val="000000" w:themeColor="text1"/>
                <w:highlight w:val="none"/>
                <w14:textFill>
                  <w14:solidFill>
                    <w14:schemeClr w14:val="tx1"/>
                  </w14:solidFill>
                </w14:textFill>
              </w:rPr>
              <w:outlineLvl w:val="1"/>
            </w:pPr>
            <w:r>
              <w:rPr>
                <w:rFonts w:cs="Times New Roman"/>
                <w:b/>
                <w:color w:val="000000" w:themeColor="text1"/>
                <w:highlight w:val="none"/>
                <w14:textFill>
                  <w14:solidFill>
                    <w14:schemeClr w14:val="tx1"/>
                  </w14:solidFill>
                </w14:textFill>
              </w:rPr>
            </w:r>
            <w:r/>
          </w:p>
        </w:tc>
        <w:tc>
          <w:tcPr>
            <w:shd w:val="clear" w:color="auto" w:fill="ffffff"/>
            <w:tcW w:w="95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布展造型方案（6分）</w:t>
            </w:r>
            <w:r/>
          </w:p>
        </w:tc>
        <w:tc>
          <w:tcPr>
            <w:shd w:val="clear" w:color="auto" w:fill="ffffff"/>
            <w:tcW w:w="7886" w:type="dxa"/>
            <w:vAlign w:val="center"/>
            <w:textDirection w:val="lrTb"/>
            <w:noWrap w:val="false"/>
          </w:tcPr>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需展示完整的空间效果图，合理布局展柜、图文、多媒体载体与科技装置，兼顾文物展陈保护、古建最小干预与观展体验。</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需包括华严庵空间效果图，其中涵盖数字人景区导览互动屏、文献柜，</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其中至少1张为此空间鸟瞰布置图（轴测图） 得1分，不提供不得分；</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需包括庭院及连廊空间效果图，其中涵盖古树名木创意铭牌、连廊，</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其中至少1张为此空间鸟瞰布置图（轴测图） 得1分，不提供不得分；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需包括胜棋楼一楼空间效果图，其中涵盖光影互动沙盘、莫愁湖水文地理综合展示、莫愁湖人文传说综合展示，</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其中至少1张为此空间鸟瞰布置图（轴测图） 得1分，不提供不得分；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需包括胜棋楼二楼空间效果图，其中涵盖万岁棋局艺术装置、明式厅堂</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其中至少1张为此空间鸟瞰布置图（轴测图） 得1分，不提供不得分；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需包括郁金堂空间效果图，其中涵盖莫愁女生活场景复原、莫愁女画作保护及利用</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 得1分，不提供不得分；</w:t>
            </w:r>
            <w:r/>
          </w:p>
          <w:p>
            <w:pPr>
              <w:ind w:firstLine="420"/>
              <w:rPr>
                <w:rFonts w:hint="eastAsia" w:ascii="宋体" w:hAnsi="宋体" w:eastAsia="宋体" w:cs="宋体"/>
                <w:color w:val="000000" w:themeColor="text1"/>
                <w:szCs w:val="21"/>
                <w:highlight w:val="none"/>
                <w:lang w:eastAsia="zh-CN" w:bidi="ar"/>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需包括苏合厢空间效果图，其中涵盖莫愁邮局、文创产品展陈</w:t>
            </w:r>
            <w:r>
              <w:rPr>
                <w:rFonts w:hint="eastAsia" w:ascii="宋体" w:hAnsi="宋体" w:cs="宋体"/>
                <w:bCs/>
                <w:color w:val="000000" w:themeColor="text1"/>
                <w:szCs w:val="21"/>
                <w:highlight w:val="none"/>
                <w14:textFill>
                  <w14:solidFill>
                    <w14:schemeClr w14:val="tx1"/>
                  </w14:solidFill>
                </w14:textFill>
              </w:rPr>
              <w:t xml:space="preserve">空间效果图不少于4张 其中至少1张为此空间鸟瞰布置图（轴测图） 得1分，不提供不得分</w:t>
            </w:r>
            <w:r>
              <w:rPr>
                <w:rFonts w:hint="eastAsia" w:ascii="宋体" w:hAnsi="宋体" w:cs="宋体"/>
                <w:bCs/>
                <w:color w:val="000000" w:themeColor="text1"/>
                <w:szCs w:val="21"/>
                <w:highlight w:val="none"/>
                <w:lang w:eastAsia="zh-CN"/>
                <w14:textFill>
                  <w14:solidFill>
                    <w14:schemeClr w14:val="tx1"/>
                  </w14:solidFill>
                </w14:textFill>
              </w:rPr>
              <w:t xml:space="preserve">。</w:t>
            </w:r>
            <w:r/>
          </w:p>
        </w:tc>
      </w:tr>
      <w:tr>
        <w:trPr/>
        <w:tc>
          <w:tcPr>
            <w:tcW w:w="900" w:type="dxa"/>
            <w:vMerge w:val="continue"/>
            <w:textDirection w:val="lrTb"/>
            <w:noWrap w:val="false"/>
          </w:tcPr>
          <w:p>
            <w:pPr>
              <w:pStyle w:val="724"/>
              <w:rPr>
                <w:rFonts w:cs="Times New Roman"/>
                <w:b/>
                <w:color w:val="000000" w:themeColor="text1"/>
                <w:highlight w:val="none"/>
                <w14:textFill>
                  <w14:solidFill>
                    <w14:schemeClr w14:val="tx1"/>
                  </w14:solidFill>
                </w14:textFill>
              </w:rPr>
              <w:outlineLvl w:val="1"/>
            </w:pPr>
            <w:r>
              <w:rPr>
                <w:rFonts w:cs="Times New Roman"/>
                <w:b/>
                <w:color w:val="000000" w:themeColor="text1"/>
                <w:highlight w:val="none"/>
                <w14:textFill>
                  <w14:solidFill>
                    <w14:schemeClr w14:val="tx1"/>
                  </w14:solidFill>
                </w14:textFill>
              </w:rPr>
            </w:r>
            <w:r/>
          </w:p>
        </w:tc>
        <w:tc>
          <w:tcPr>
            <w:shd w:val="clear" w:color="auto" w:fill="ffffff"/>
            <w:tcW w:w="95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AI数字复原方案（</w:t>
            </w:r>
            <w:r>
              <w:rPr>
                <w:rFonts w:hint="eastAsia" w:ascii="宋体" w:hAnsi="宋体" w:cs="宋体"/>
                <w:b/>
                <w:bCs/>
                <w:color w:val="000000" w:themeColor="text1"/>
                <w:szCs w:val="21"/>
                <w:highlight w:val="none"/>
                <w:lang w:val="en-US" w:eastAsia="zh-CN"/>
                <w14:textFill>
                  <w14:solidFill>
                    <w14:schemeClr w14:val="tx1"/>
                  </w14:solidFill>
                </w14:textFill>
              </w:rPr>
              <w:t xml:space="preserve">14</w:t>
            </w:r>
            <w:r>
              <w:rPr>
                <w:rFonts w:hint="eastAsia" w:ascii="宋体" w:hAnsi="宋体" w:cs="宋体"/>
                <w:b/>
                <w:bCs/>
                <w:color w:val="000000" w:themeColor="text1"/>
                <w:szCs w:val="21"/>
                <w:highlight w:val="none"/>
                <w14:textFill>
                  <w14:solidFill>
                    <w14:schemeClr w14:val="tx1"/>
                  </w14:solidFill>
                </w14:textFill>
              </w:rPr>
              <w:t xml:space="preserve">分）</w:t>
            </w:r>
            <w:r/>
          </w:p>
        </w:tc>
        <w:tc>
          <w:tcPr>
            <w:shd w:val="clear" w:color="auto" w:fill="ffffff"/>
            <w:tcW w:w="7886" w:type="dxa"/>
            <w:vAlign w:val="center"/>
            <w:textDirection w:val="lrTb"/>
            <w:noWrap w:val="false"/>
          </w:tcPr>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1.需为核心IP—数字莫愁女打造真人、国漫及Q版三种风格造型，形象适配景区文化定位，并提供三种风格数字莫愁女的动态演示视频：</w:t>
            </w:r>
            <w:r/>
          </w:p>
          <w:p>
            <w:pP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投标人需提供莫愁女三种风格人物的整身正面、侧面、背面三视角静态图片并提供三种风格人物整身旋转动态视屏，每个不少于3秒，提供得3分，不提供或少提供不得分；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2.需为核心IP—数字莫愁女打造真人、国漫及Q版三种人物面目，喜、怒、哀、乐四种微表情：</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需提供三种风格人物四种表情的面部微表情：正面、侧面、45度角度面三视角静态图片，并提供12种微表情演示视频，每个不少于2秒，并提供不少于30秒的连续口播视频，提供得3分，不提供或少提供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数字场景复原系统：</w:t>
            </w:r>
            <w:r>
              <w:rPr>
                <w:rFonts w:hint="eastAsia" w:ascii="宋体" w:hAnsi="宋体" w:cs="宋体"/>
                <w:color w:val="000000" w:themeColor="text1"/>
                <w:szCs w:val="21"/>
                <w:highlight w:val="none"/>
                <w14:textFill>
                  <w14:solidFill>
                    <w14:schemeClr w14:val="tx1"/>
                  </w14:solidFill>
                </w14:textFill>
              </w:rPr>
              <w:t xml:space="preserve">景区定点导览及手机导览两种模式的数字扫描数字呈现</w:t>
            </w:r>
            <w:r>
              <w:rPr>
                <w:rFonts w:hint="eastAsia" w:ascii="宋体" w:hAnsi="宋体" w:cs="宋体"/>
                <w:bCs/>
                <w:color w:val="000000" w:themeColor="text1"/>
                <w:szCs w:val="21"/>
                <w:highlight w:val="none"/>
                <w14:textFill>
                  <w14:solidFill>
                    <w14:schemeClr w14:val="tx1"/>
                  </w14:solidFill>
                </w14:textFill>
              </w:rPr>
              <w:t xml:space="preserve">华严庵、胜棋楼、郁金堂：</w:t>
            </w:r>
            <w:r>
              <w:rPr>
                <w:rFonts w:hint="eastAsia" w:ascii="宋体" w:hAnsi="宋体" w:cs="宋体"/>
                <w:color w:val="000000" w:themeColor="text1"/>
                <w:szCs w:val="21"/>
                <w:highlight w:val="none"/>
                <w14:textFill>
                  <w14:solidFill>
                    <w14:schemeClr w14:val="tx1"/>
                  </w14:solidFill>
                </w14:textFill>
              </w:rPr>
              <w:t xml:space="preserve">明式家具数字复原、莫愁女生活场景数字复原、莫愁女画像数字复原、水院莫愁女雕像数字复原。</w:t>
            </w:r>
            <w:r/>
          </w:p>
          <w:p>
            <w:pPr>
              <w:pStyle w:val="1008"/>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对“数字场景复原系统”功能进行视频展示；要求提供相关展示视频，每一个功能点演示全部满足要求的，</w:t>
            </w:r>
            <w:r>
              <w:rPr>
                <w:rFonts w:hint="eastAsia" w:ascii="宋体" w:hAnsi="宋体" w:eastAsia="宋体" w:cs="宋体"/>
                <w:bCs/>
                <w:color w:val="000000" w:themeColor="text1"/>
                <w:sz w:val="21"/>
                <w:szCs w:val="21"/>
                <w:highlight w:val="none"/>
                <w14:textFill>
                  <w14:solidFill>
                    <w14:schemeClr w14:val="tx1"/>
                  </w14:solidFill>
                </w14:textFill>
              </w:rPr>
              <w:t xml:space="preserve">最高得</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14:textFill>
                  <w14:solidFill>
                    <w14:schemeClr w14:val="tx1"/>
                  </w14:solidFill>
                </w14:textFill>
              </w:rPr>
              <w:t xml:space="preserve">。视频需添加人声讲解和字幕；合计演示时间不得少于2分钟，演示顺序须与得分要点顺序一致。有关视频上传等要求详见苏采云系统供应商操作手册。</w:t>
            </w:r>
            <w:r/>
          </w:p>
          <w:p>
            <w:pPr>
              <w:pStyle w:val="1008"/>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对数字场景复原系统需包含以下功能：</w:t>
            </w:r>
            <w:r/>
          </w:p>
          <w:p>
            <w:pPr>
              <w:pStyle w:val="1008"/>
              <w:numPr>
                <w:ilvl w:val="0"/>
                <w:numId w:val="1"/>
              </w:numPr>
              <w:ind w:left="0"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实现景区定点导览及手机导览两种模式（1分）；</w:t>
            </w:r>
            <w:r/>
          </w:p>
          <w:p>
            <w:pPr>
              <w:pStyle w:val="1008"/>
              <w:numPr>
                <w:ilvl w:val="0"/>
                <w:numId w:val="1"/>
              </w:numPr>
              <w:ind w:left="0"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数字扫描数字呈现华严庵、胜棋楼、郁金堂：明式家具数字复原（2分）；</w:t>
            </w:r>
            <w:r/>
          </w:p>
          <w:p>
            <w:pPr>
              <w:pStyle w:val="1008"/>
              <w:numPr>
                <w:ilvl w:val="0"/>
                <w:numId w:val="1"/>
              </w:numPr>
              <w:ind w:left="0" w:firstLine="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莫愁女生活场景数字复原需与莫愁湖文化旅游主题相关的主题动画（</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pStyle w:val="1008"/>
              <w:numPr>
                <w:ilvl w:val="0"/>
                <w:numId w:val="1"/>
              </w:numPr>
              <w:ind w:left="0" w:firstLine="0"/>
              <w:rPr>
                <w:rFonts w:ascii="宋体" w:hAnsi="宋体" w:eastAsia="宋体" w:cs="宋体"/>
                <w:color w:val="000000" w:themeColor="text1"/>
                <w:sz w:val="21"/>
                <w:szCs w:val="21"/>
                <w:highlight w:val="none"/>
                <w:lang w:val="zh-CN"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水院莫愁女雕像数字复原（3分）</w:t>
            </w:r>
            <w:r/>
          </w:p>
          <w:p>
            <w:pPr>
              <w:pStyle w:val="1008"/>
              <w:ind w:firstLine="420"/>
              <w:rPr>
                <w:rFonts w:hint="eastAsia" w:ascii="宋体" w:hAnsi="宋体" w:eastAsia="宋体" w:cs="宋体"/>
                <w:color w:val="000000" w:themeColor="text1"/>
                <w:sz w:val="21"/>
                <w:szCs w:val="21"/>
                <w:highlight w:val="none"/>
                <w:lang w:val="zh-CN" w:eastAsia="zh-CN" w:bidi="ar"/>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注：未提供展示视频的不得分；提供视频但未全部满足要求的，按达标功能点对应分值得分。演示视频不可加速、不可恶意遮挡，否则视为无效演示</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tc>
      </w:tr>
      <w:tr>
        <w:trPr/>
        <w:tc>
          <w:tcPr>
            <w:tcW w:w="900" w:type="dxa"/>
            <w:vMerge w:val="continue"/>
            <w:textDirection w:val="lrTb"/>
            <w:noWrap w:val="false"/>
          </w:tcPr>
          <w:p>
            <w:pPr>
              <w:pStyle w:val="724"/>
              <w:rPr>
                <w:rFonts w:cs="Times New Roman"/>
                <w:b/>
                <w:color w:val="000000" w:themeColor="text1"/>
                <w:highlight w:val="none"/>
                <w14:textFill>
                  <w14:solidFill>
                    <w14:schemeClr w14:val="tx1"/>
                  </w14:solidFill>
                </w14:textFill>
              </w:rPr>
              <w:outlineLvl w:val="1"/>
            </w:pPr>
            <w:r>
              <w:rPr>
                <w:rFonts w:cs="Times New Roman"/>
                <w:b/>
                <w:color w:val="000000" w:themeColor="text1"/>
                <w:highlight w:val="none"/>
                <w14:textFill>
                  <w14:solidFill>
                    <w14:schemeClr w14:val="tx1"/>
                  </w14:solidFill>
                </w14:textFill>
              </w:rPr>
            </w:r>
            <w:r/>
          </w:p>
        </w:tc>
        <w:tc>
          <w:tcPr>
            <w:shd w:val="clear" w:color="auto" w:fill="ffffff"/>
            <w:tcW w:w="950" w:type="dxa"/>
            <w:vAlign w:val="center"/>
            <w:textDirection w:val="lrTb"/>
            <w:noWrap w:val="false"/>
          </w:tcPr>
          <w:p>
            <w:pPr>
              <w:ind w:left="-57" w:right="-57"/>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布展深化方案（10分）</w:t>
            </w:r>
            <w:r/>
          </w:p>
        </w:tc>
        <w:tc>
          <w:tcPr>
            <w:shd w:val="clear" w:color="auto" w:fill="ffffff"/>
            <w:tcW w:w="7886" w:type="dxa"/>
            <w:vAlign w:val="center"/>
            <w:textDirection w:val="lrTb"/>
            <w:noWrap w:val="false"/>
          </w:tcPr>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1.需提供标注明确13个展项的</w:t>
            </w:r>
            <w:r>
              <w:rPr>
                <w:rFonts w:hint="eastAsia" w:ascii="宋体" w:hAnsi="宋体" w:cs="宋体"/>
                <w:color w:val="000000" w:themeColor="text1"/>
                <w:szCs w:val="21"/>
                <w:highlight w:val="none"/>
                <w:lang w:val="en-US" w:eastAsia="zh-CN"/>
                <w14:textFill>
                  <w14:solidFill>
                    <w14:schemeClr w14:val="tx1"/>
                  </w14:solidFill>
                </w14:textFill>
              </w:rPr>
              <w:t xml:space="preserve">设计</w:t>
            </w:r>
            <w:r>
              <w:rPr>
                <w:rFonts w:hint="eastAsia" w:ascii="宋体" w:hAnsi="宋体" w:cs="宋体"/>
                <w:color w:val="000000" w:themeColor="text1"/>
                <w:szCs w:val="21"/>
                <w:highlight w:val="none"/>
                <w14:textFill>
                  <w14:solidFill>
                    <w14:schemeClr w14:val="tx1"/>
                  </w14:solidFill>
                </w14:textFill>
              </w:rPr>
              <w:t xml:space="preserve">图纸  </w:t>
            </w:r>
            <w:r>
              <w:rPr>
                <w:rFonts w:hint="eastAsia" w:ascii="宋体" w:hAnsi="宋体" w:cs="宋体"/>
                <w:bCs/>
                <w:color w:val="000000" w:themeColor="text1"/>
                <w:szCs w:val="21"/>
                <w:highlight w:val="none"/>
                <w14:textFill>
                  <w14:solidFill>
                    <w14:schemeClr w14:val="tx1"/>
                  </w14:solidFill>
                </w14:textFill>
              </w:rPr>
              <w:t xml:space="preserve">得2分，缺一项则不得分。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2.需提供华严庵、胜棋楼一楼、胜棋楼二楼、郁金堂、苏合厢的装饰施工图不少于30张，其中：拆除示意图不少于5张；平面布置图不少于5张；立面索引图不少于5张，所有立面图不少于10张，展柜大样不少于5张 </w:t>
            </w:r>
            <w:r>
              <w:rPr>
                <w:rFonts w:hint="eastAsia" w:ascii="宋体" w:hAnsi="宋体" w:cs="宋体"/>
                <w:bCs/>
                <w:color w:val="000000" w:themeColor="text1"/>
                <w:szCs w:val="21"/>
                <w:highlight w:val="none"/>
                <w14:textFill>
                  <w14:solidFill>
                    <w14:schemeClr w14:val="tx1"/>
                  </w14:solidFill>
                </w14:textFill>
              </w:rPr>
              <w:t xml:space="preserve">得4分，缺一项则不得分；</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3.需提供华严庵、胜棋楼一楼、胜棋楼二楼、郁金堂、苏合厢强电图不少于4张，其中：设备点位图、插座点位图、灯具回路图、配电系统图至少各1张  </w:t>
            </w:r>
            <w:r>
              <w:rPr>
                <w:rFonts w:hint="eastAsia" w:ascii="宋体" w:hAnsi="宋体" w:cs="宋体"/>
                <w:bCs/>
                <w:color w:val="000000" w:themeColor="text1"/>
                <w:szCs w:val="21"/>
                <w:highlight w:val="none"/>
                <w14:textFill>
                  <w14:solidFill>
                    <w14:schemeClr w14:val="tx1"/>
                  </w14:solidFill>
                </w14:textFill>
              </w:rPr>
              <w:t xml:space="preserve">得2分，缺一项则不得分。</w:t>
            </w:r>
            <w:r/>
          </w:p>
          <w:p>
            <w:pPr>
              <w:ind w:firstLine="420"/>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4.需提供华严庵、胜棋楼一楼、胜棋楼二楼、郁金堂、苏合厢弱电图不少于4张，其中：网络系统图、AP系统图、音视频线系统图、设备系统图至少各1张  </w:t>
            </w:r>
            <w:r>
              <w:rPr>
                <w:rFonts w:hint="eastAsia" w:ascii="宋体" w:hAnsi="宋体" w:cs="宋体"/>
                <w:bCs/>
                <w:color w:val="000000" w:themeColor="text1"/>
                <w:szCs w:val="21"/>
                <w:highlight w:val="none"/>
                <w14:textFill>
                  <w14:solidFill>
                    <w14:schemeClr w14:val="tx1"/>
                  </w14:solidFill>
                </w14:textFill>
              </w:rPr>
              <w:t xml:space="preserve">得2分，缺一项则不得分。</w:t>
            </w:r>
            <w:r/>
          </w:p>
        </w:tc>
      </w:tr>
      <w:tr>
        <w:trPr/>
        <w:tc>
          <w:tcPr>
            <w:shd w:val="clear" w:color="auto" w:fill="ffffff"/>
            <w:tcW w:w="900" w:type="dxa"/>
            <w:vAlign w:val="center"/>
            <w:textDirection w:val="lrTb"/>
            <w:noWrap w:val="false"/>
          </w:tcPr>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实施计划</w:t>
            </w:r>
            <w:r/>
          </w:p>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（5分）</w:t>
            </w:r>
            <w:r/>
          </w:p>
        </w:tc>
        <w:tc>
          <w:tcPr>
            <w:gridSpan w:val="2"/>
            <w:shd w:val="clear" w:color="auto" w:fill="ffffff"/>
            <w:tcW w:w="8836"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需结合本项目布展范围编制完整的布展组织实施方案。</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1、需有项目总体实施部署，包括项目说明、实施原则、实施目标、实施特点分析等；</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2、需有项目实施的关键施工技术、工艺；</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3、需要明确的进度计划，包括总体工期进度计划、确保进度的实施措施，确保按期交付；</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4、需包含实施资源配置计划，包括实施设备的合理配置、劳动力配置；</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5、需有质量和管理实施措施，包括质量保障措施、安全保障措施、文明保障措施、管理机构和管理制度。</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内容详细全面，契合项目需求，针对性、可操作性强，每项得1分，最高5分。</w:t>
            </w:r>
            <w:r/>
          </w:p>
        </w:tc>
      </w:tr>
      <w:tr>
        <w:trPr/>
        <w:tc>
          <w:tcPr>
            <w:shd w:val="clear" w:color="auto" w:fill="ffffff"/>
            <w:tcW w:w="900" w:type="dxa"/>
            <w:vAlign w:val="center"/>
            <w:textDirection w:val="lrTb"/>
            <w:noWrap w:val="false"/>
          </w:tcPr>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拟派项目组成员</w:t>
            </w:r>
            <w:r/>
          </w:p>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（10分）</w:t>
            </w:r>
            <w:r/>
          </w:p>
        </w:tc>
        <w:tc>
          <w:tcPr>
            <w:gridSpan w:val="2"/>
            <w:shd w:val="clear" w:color="auto" w:fill="ffffff"/>
            <w:tcW w:w="8836" w:type="dxa"/>
            <w:vAlign w:val="center"/>
            <w:textDirection w:val="lrTb"/>
            <w:noWrap w:val="false"/>
          </w:tcPr>
          <w:p>
            <w:pPr>
              <w:ind w:right="170" w:firstLine="420"/>
              <w:tabs>
                <w:tab w:val="left" w:pos="5680" w:leader="none"/>
              </w:tabs>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1、拟派项目经理具有工程类中级及以上职称、同时需具备展馆实施经验的得2分，满分2分。</w:t>
            </w:r>
            <w:r>
              <w:rPr>
                <w:rFonts w:hint="eastAsia" w:ascii="宋体" w:hAnsi="宋体" w:cs="宋体"/>
                <w:color w:val="000000" w:themeColor="text1"/>
                <w:szCs w:val="21"/>
                <w:highlight w:val="none"/>
                <w:lang w:val="en-US"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提供能体现出项目经理施工经验的证明材料复印件（包含合同和竣工验收报告复印件）及供应商为其缴纳的投标报名截止日前三个月</w:t>
            </w:r>
            <w:r>
              <w:rPr>
                <w:rFonts w:hint="eastAsia" w:ascii="宋体" w:hAnsi="宋体" w:cs="宋体"/>
                <w:bCs/>
                <w:color w:val="000000" w:themeColor="text1"/>
                <w:szCs w:val="21"/>
                <w:highlight w:val="none"/>
                <w:lang w:val="en-US" w:eastAsia="zh-CN"/>
                <w14:textFill>
                  <w14:solidFill>
                    <w14:schemeClr w14:val="tx1"/>
                  </w14:solidFill>
                </w14:textFill>
              </w:rPr>
              <w:t xml:space="preserve">内任意一个月</w:t>
            </w:r>
            <w:r>
              <w:rPr>
                <w:rFonts w:hint="eastAsia" w:ascii="宋体" w:hAnsi="宋体" w:cs="宋体"/>
                <w:bCs/>
                <w:color w:val="000000" w:themeColor="text1"/>
                <w:szCs w:val="21"/>
                <w:highlight w:val="none"/>
                <w14:textFill>
                  <w14:solidFill>
                    <w14:schemeClr w14:val="tx1"/>
                  </w14:solidFill>
                </w14:textFill>
              </w:rPr>
              <w:t xml:space="preserve">的社保证明材料，加盖供应商公章，提供不全或未提供不得分</w:t>
            </w:r>
            <w:r>
              <w:rPr>
                <w:rFonts w:hint="eastAsia" w:ascii="宋体" w:hAnsi="宋体" w:cs="宋体"/>
                <w:bCs/>
                <w:color w:val="000000" w:themeColor="text1"/>
                <w:szCs w:val="21"/>
                <w:highlight w:val="none"/>
                <w:lang w:val="en-US" w:eastAsia="zh-CN"/>
                <w14:textFill>
                  <w14:solidFill>
                    <w14:schemeClr w14:val="tx1"/>
                  </w14:solidFill>
                </w14:textFill>
              </w:rPr>
              <w:t xml:space="preserve">]</w:t>
            </w:r>
            <w:r/>
          </w:p>
          <w:p>
            <w:pPr>
              <w:ind w:right="170" w:firstLine="420"/>
              <w:tabs>
                <w:tab w:val="left" w:pos="5680" w:leader="none"/>
              </w:tabs>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拟派项目组成员中（不含项目经理）拟为本项目至少配备1名专职安全员，专职安全员具有省级及以上建设行政主管部门核发的有效的《建筑施工企业专职安全生产管理人员安全生产考核合格证书》（C证），得2分。</w:t>
            </w:r>
            <w:r>
              <w:rPr>
                <w:rFonts w:hint="eastAsia" w:ascii="宋体" w:hAnsi="宋体" w:cs="宋体"/>
                <w:bCs/>
                <w:color w:val="000000" w:themeColor="text1"/>
                <w:szCs w:val="21"/>
                <w:highlight w:val="none"/>
                <w14:textFill>
                  <w14:solidFill>
                    <w14:schemeClr w14:val="tx1"/>
                  </w14:solidFill>
                </w14:textFill>
              </w:rPr>
              <w:t xml:space="preserve">（提供职称证书复印件及供应商为其缴纳的投标报名截止日前三个月</w:t>
            </w:r>
            <w:r>
              <w:rPr>
                <w:rFonts w:hint="eastAsia" w:ascii="宋体" w:hAnsi="宋体" w:cs="宋体"/>
                <w:bCs/>
                <w:color w:val="000000" w:themeColor="text1"/>
                <w:szCs w:val="21"/>
                <w:highlight w:val="none"/>
                <w:lang w:val="en-US" w:eastAsia="zh-CN"/>
                <w14:textFill>
                  <w14:solidFill>
                    <w14:schemeClr w14:val="tx1"/>
                  </w14:solidFill>
                </w14:textFill>
              </w:rPr>
              <w:t xml:space="preserve">内任意一个月</w:t>
            </w:r>
            <w:r>
              <w:rPr>
                <w:rFonts w:hint="eastAsia" w:ascii="宋体" w:hAnsi="宋体" w:cs="宋体"/>
                <w:bCs/>
                <w:color w:val="000000" w:themeColor="text1"/>
                <w:szCs w:val="21"/>
                <w:highlight w:val="none"/>
                <w14:textFill>
                  <w14:solidFill>
                    <w14:schemeClr w14:val="tx1"/>
                  </w14:solidFill>
                </w14:textFill>
              </w:rPr>
              <w:t xml:space="preserve">的社保证明材料，加盖供应商公章，提供不全或未提供不得分）</w:t>
            </w:r>
            <w:r/>
          </w:p>
          <w:p>
            <w:pPr>
              <w:ind w:right="170" w:firstLine="420"/>
              <w:tabs>
                <w:tab w:val="left" w:pos="568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3、拟投入本项目组人员管理及人员配备情况，项目组人员（不含项目经理）中，有中级及以上职称的，每有一人得2分，本项最高6分。</w:t>
            </w:r>
            <w:r>
              <w:rPr>
                <w:rFonts w:hint="eastAsia" w:ascii="宋体" w:hAnsi="宋体" w:cs="宋体"/>
                <w:bCs/>
                <w:color w:val="000000" w:themeColor="text1"/>
                <w:szCs w:val="21"/>
                <w:highlight w:val="none"/>
                <w14:textFill>
                  <w14:solidFill>
                    <w14:schemeClr w14:val="tx1"/>
                  </w14:solidFill>
                </w14:textFill>
              </w:rPr>
              <w:t xml:space="preserve">（提供人员证书及供应商为其缴纳的投标报名截止日前三个月</w:t>
            </w:r>
            <w:r>
              <w:rPr>
                <w:rFonts w:hint="eastAsia" w:ascii="宋体" w:hAnsi="宋体" w:cs="宋体"/>
                <w:bCs/>
                <w:color w:val="000000" w:themeColor="text1"/>
                <w:szCs w:val="21"/>
                <w:highlight w:val="none"/>
                <w:lang w:val="en-US" w:eastAsia="zh-CN"/>
                <w14:textFill>
                  <w14:solidFill>
                    <w14:schemeClr w14:val="tx1"/>
                  </w14:solidFill>
                </w14:textFill>
              </w:rPr>
              <w:t xml:space="preserve">内任意一个月</w:t>
            </w:r>
            <w:r>
              <w:rPr>
                <w:rFonts w:hint="eastAsia" w:ascii="宋体" w:hAnsi="宋体" w:cs="宋体"/>
                <w:bCs/>
                <w:color w:val="000000" w:themeColor="text1"/>
                <w:szCs w:val="21"/>
                <w:highlight w:val="none"/>
                <w14:textFill>
                  <w14:solidFill>
                    <w14:schemeClr w14:val="tx1"/>
                  </w14:solidFill>
                </w14:textFill>
              </w:rPr>
              <w:t xml:space="preserve">的社保证明材料，加盖供应商公章，提供不全或未提供不得分）</w:t>
            </w:r>
            <w:r/>
          </w:p>
        </w:tc>
      </w:tr>
      <w:tr>
        <w:trPr/>
        <w:tc>
          <w:tcPr>
            <w:shd w:val="clear" w:color="auto" w:fill="ffffff"/>
            <w:tcW w:w="900" w:type="dxa"/>
            <w:vAlign w:val="center"/>
            <w:textDirection w:val="lrTb"/>
            <w:noWrap w:val="false"/>
          </w:tcPr>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业绩</w:t>
            </w:r>
            <w:r/>
          </w:p>
          <w:p>
            <w:pPr>
              <w:ind w:left="-113" w:right="-113"/>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15</w:t>
            </w:r>
            <w:r>
              <w:rPr>
                <w:rFonts w:hint="eastAsia" w:ascii="宋体" w:hAnsi="宋体" w:cs="宋体"/>
                <w:b/>
                <w:bCs/>
                <w:color w:val="000000" w:themeColor="text1"/>
                <w:szCs w:val="21"/>
                <w:highlight w:val="none"/>
                <w14:textFill>
                  <w14:solidFill>
                    <w14:schemeClr w14:val="tx1"/>
                  </w14:solidFill>
                </w14:textFill>
              </w:rPr>
              <w:t xml:space="preserve">分）</w:t>
            </w:r>
            <w:r/>
          </w:p>
        </w:tc>
        <w:tc>
          <w:tcPr>
            <w:gridSpan w:val="2"/>
            <w:shd w:val="clear" w:color="auto" w:fill="ffffff"/>
            <w:tcW w:w="8836" w:type="dxa"/>
            <w:vAlign w:val="center"/>
            <w:textDirection w:val="lrTb"/>
            <w:noWrap w:val="false"/>
          </w:tcPr>
          <w:p>
            <w:pPr>
              <w:ind w:right="170" w:firstLine="420"/>
              <w:tabs>
                <w:tab w:val="left" w:pos="568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供应商自2023年1月1日以来（以竣工验收证明时间为准）承接过类似展馆布展业绩的，有一个业绩得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分，满分</w:t>
            </w:r>
            <w:r>
              <w:rPr>
                <w:rFonts w:hint="eastAsia" w:ascii="宋体" w:hAnsi="宋体" w:cs="宋体"/>
                <w:color w:val="000000" w:themeColor="text1"/>
                <w:szCs w:val="21"/>
                <w:highlight w:val="none"/>
                <w:lang w:val="en-US" w:eastAsia="zh-CN"/>
                <w14:textFill>
                  <w14:solidFill>
                    <w14:schemeClr w14:val="tx1"/>
                  </w14:solidFill>
                </w14:textFill>
              </w:rPr>
              <w:t xml:space="preserve">15</w:t>
            </w:r>
            <w:r>
              <w:rPr>
                <w:rFonts w:hint="eastAsia" w:ascii="宋体" w:hAnsi="宋体" w:cs="宋体"/>
                <w:color w:val="000000" w:themeColor="text1"/>
                <w:szCs w:val="21"/>
                <w:highlight w:val="none"/>
                <w:lang w:val="zh-CN"/>
                <w14:textFill>
                  <w14:solidFill>
                    <w14:schemeClr w14:val="tx1"/>
                  </w14:solidFill>
                </w14:textFill>
              </w:rPr>
              <w:t xml:space="preserve">分。</w:t>
            </w:r>
            <w:r/>
          </w:p>
          <w:p>
            <w:pPr>
              <w:ind w:right="170" w:firstLine="420"/>
              <w:tabs>
                <w:tab w:val="left" w:pos="5680" w:leader="none"/>
              </w:tabs>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注：业绩应同时提供以下证明资料，复印件加盖供应商公章，提供不全或未提供不得分。</w:t>
            </w:r>
            <w:r/>
          </w:p>
          <w:p>
            <w:pPr>
              <w:ind w:right="170" w:firstLine="420"/>
              <w:tabs>
                <w:tab w:val="left" w:pos="568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（1）依法承发包的交易结果（中标或成交）文件；（2）合同；（3）竣工验收证明材料；（4）其他证明资料（如有）。依法承发包的交易结果文件包括中标通知书、直接发包通知书（或备案表）</w:t>
            </w:r>
            <w:r>
              <w:rPr>
                <w:rFonts w:hint="eastAsia" w:ascii="宋体" w:hAnsi="宋体" w:cs="宋体"/>
                <w:color w:val="000000" w:themeColor="text1"/>
                <w:szCs w:val="21"/>
                <w:highlight w:val="none"/>
                <w:lang w:val="en-US" w:eastAsia="zh-CN"/>
                <w14:textFill>
                  <w14:solidFill>
                    <w14:schemeClr w14:val="tx1"/>
                  </w14:solidFill>
                </w14:textFill>
              </w:rPr>
              <w:t xml:space="preserve">或</w:t>
            </w:r>
            <w:r>
              <w:rPr>
                <w:rFonts w:hint="eastAsia" w:ascii="宋体" w:hAnsi="宋体" w:cs="宋体"/>
                <w:color w:val="000000" w:themeColor="text1"/>
                <w:szCs w:val="21"/>
                <w:highlight w:val="none"/>
                <w:lang w:val="zh-CN"/>
                <w14:textFill>
                  <w14:solidFill>
                    <w14:schemeClr w14:val="tx1"/>
                  </w14:solidFill>
                </w14:textFill>
              </w:rPr>
              <w:t xml:space="preserve">成交通知书等；依法可以不进行招标的项目，可以提供业主单位或招标代理机构出具的有关中标文件。</w:t>
            </w:r>
            <w:r/>
          </w:p>
        </w:tc>
      </w:tr>
    </w:tbl>
    <w:p>
      <w:pPr>
        <w:pStyle w:val="724"/>
        <w:rPr>
          <w:rFonts w:cs="Times New Roman"/>
          <w:b/>
          <w:color w:val="000000" w:themeColor="text1"/>
          <w:highlight w:val="none"/>
          <w14:textFill>
            <w14:solidFill>
              <w14:schemeClr w14:val="tx1"/>
            </w14:solidFill>
          </w14:textFill>
        </w:rPr>
      </w:pPr>
      <w:r>
        <w:rPr>
          <w:rFonts w:cs="Times New Roman"/>
          <w:b/>
          <w:color w:val="000000" w:themeColor="text1"/>
          <w:highlight w:val="none"/>
          <w14:textFill>
            <w14:solidFill>
              <w14:schemeClr w14:val="tx1"/>
            </w14:solidFill>
          </w14:textFill>
        </w:rPr>
      </w:r>
      <w:r/>
    </w:p>
    <w:p>
      <w:pPr>
        <w:pStyle w:val="73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2"/>
        <w:spacing w:line="264"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bookmarkStart w:id="237" w:name="_Toc1377"/>
      <w:r/>
      <w:r/>
    </w:p>
    <w:p>
      <w:pPr>
        <w:pStyle w:val="723"/>
        <w:spacing w:after="1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723"/>
        <w:spacing w:after="14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w:t>
      </w:r>
      <w:bookmarkEnd w:id="230"/>
      <w:r/>
      <w:bookmarkEnd w:id="231"/>
      <w:r/>
      <w:bookmarkEnd w:id="232"/>
      <w:r>
        <w:rPr>
          <w:rFonts w:hint="eastAsia"/>
          <w:color w:val="000000" w:themeColor="text1"/>
          <w:highlight w:val="none"/>
          <w14:textFill>
            <w14:solidFill>
              <w14:schemeClr w14:val="tx1"/>
            </w14:solidFill>
          </w14:textFill>
        </w:rPr>
        <w:t xml:space="preserve">文件格式</w:t>
      </w:r>
      <w:bookmarkEnd w:id="237"/>
      <w:r/>
      <w:r/>
    </w:p>
    <w:p>
      <w:pPr>
        <w:jc w:val="center"/>
        <w:rPr>
          <w:rFonts w:ascii="宋体" w:hAnsi="宋体"/>
          <w:b/>
          <w:color w:val="000000" w:themeColor="text1"/>
          <w:sz w:val="72"/>
          <w:highlight w:val="none"/>
          <w14:textFill>
            <w14:solidFill>
              <w14:schemeClr w14:val="tx1"/>
            </w14:solidFill>
          </w14:textFill>
        </w:rPr>
      </w:pPr>
      <w:r/>
      <w:bookmarkStart w:id="238" w:name="_Hlt26955039"/>
      <w:r/>
      <w:bookmarkEnd w:id="238"/>
      <w:r/>
      <w:bookmarkStart w:id="239" w:name="_Hlt26671244"/>
      <w:r/>
      <w:bookmarkEnd w:id="239"/>
      <w:r/>
      <w:bookmarkStart w:id="240" w:name="_Toc26554094"/>
      <w:r/>
      <w:bookmarkStart w:id="241" w:name="_Toc49090576"/>
      <w:r/>
      <w:bookmarkStart w:id="242" w:name="_Toc120614282"/>
      <w:r/>
      <w:r/>
    </w:p>
    <w:p>
      <w:pPr>
        <w:jc w:val="center"/>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投  标  文  件</w:t>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p>
    <w:p>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p>
    <w:p>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供应商名称 ：</w:t>
      </w:r>
      <w:r>
        <w:rPr>
          <w:rFonts w:hint="eastAsia" w:ascii="宋体" w:hAnsi="宋体"/>
          <w:b/>
          <w:color w:val="000000" w:themeColor="text1"/>
          <w:sz w:val="36"/>
          <w:highlight w:val="none"/>
          <w:u w:val="single"/>
          <w14:textFill>
            <w14:solidFill>
              <w14:schemeClr w14:val="tx1"/>
            </w14:solidFill>
          </w14:textFill>
        </w:rPr>
        <w:t xml:space="preserve">（加盖电子公章）   </w:t>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br w:type="page" w:clear="all"/>
      </w:r>
      <w:r>
        <w:rPr>
          <w:rFonts w:hint="eastAsia" w:ascii="方正黑体_GBK" w:hAnsi="方正黑体_GBK" w:eastAsia="方正黑体_GBK" w:cs="方正黑体_GBK"/>
          <w:color w:val="000000" w:themeColor="text1"/>
          <w:sz w:val="32"/>
          <w:szCs w:val="32"/>
          <w:highlight w:val="none"/>
          <w14:textFill>
            <w14:solidFill>
              <w14:schemeClr w14:val="tx1"/>
            </w14:solidFill>
          </w14:textFill>
        </w:rPr>
        <w:t xml:space="preserve">投标文件目录</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一、供应商信用承诺函</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二、满足特定资格要求的证明文件（如有特定资格要求）</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三、法人授权书</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四、投标函</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五、开标一览表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六、投标报价表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七、技术要求响应及偏离表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八、商务要求响应及偏离表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九、技术说明与服务方案</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十、拟参与本项目服务人员一览表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十一、投标人类似业绩情况表</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十二、中小企业声明函（如有）</w:t>
      </w:r>
      <w:r/>
    </w:p>
    <w:p>
      <w:pPr>
        <w:ind w:firstLine="560"/>
        <w:spacing w:line="60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十三、残疾人福利性单位声明函（如有）</w:t>
      </w:r>
      <w:r/>
    </w:p>
    <w:p>
      <w:pPr>
        <w:ind w:firstLine="560"/>
        <w:spacing w:line="60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十四、联合体协议（如有）</w:t>
      </w:r>
      <w:r/>
    </w:p>
    <w:p>
      <w:pPr>
        <w:ind w:firstLine="560"/>
        <w:spacing w:line="600" w:lineRule="exact"/>
        <w:rPr>
          <w:rFonts w:hint="eastAsia"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十五、南京市政府采购供应商信用承诺书</w:t>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7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7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bookmarkEnd w:id="240"/>
      <w:bookmarkEnd w:id="241"/>
      <w:bookmarkEnd w:id="242"/>
      <w:r/>
    </w:p>
    <w:p>
      <w:pPr>
        <w:jc w:val="left"/>
        <w:spacing w:line="360" w:lineRule="auto"/>
        <w:rPr>
          <w:rFonts w:ascii="黑体" w:hAnsi="黑体" w:eastAsia="黑体"/>
          <w:color w:val="000000" w:themeColor="text1"/>
          <w:sz w:val="32"/>
          <w:szCs w:val="32"/>
          <w:highlight w:val="none"/>
          <w14:textFill>
            <w14:solidFill>
              <w14:schemeClr w14:val="tx1"/>
            </w14:solidFill>
          </w14:textFill>
        </w:rPr>
      </w:pPr>
      <w:r/>
      <w:bookmarkStart w:id="243" w:name="_Toc120614284"/>
      <w:r/>
      <w:r/>
    </w:p>
    <w:p>
      <w:pPr>
        <w:jc w:val="left"/>
        <w:widowControl/>
        <w:rPr>
          <w:rFonts w:ascii="宋体" w:hAnsi="宋体"/>
          <w:b/>
          <w:bCs/>
          <w:color w:val="000000" w:themeColor="text1"/>
          <w:sz w:val="24"/>
          <w:szCs w:val="32"/>
          <w:highlight w:val="none"/>
          <w:lang w:val="zh-CN"/>
          <w14:textFill>
            <w14:solidFill>
              <w14:schemeClr w14:val="tx1"/>
            </w14:solidFill>
          </w14:textFill>
        </w:rPr>
      </w:pPr>
      <w:r>
        <w:rPr>
          <w:color w:val="000000" w:themeColor="text1"/>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44" w:name="_Toc21571"/>
      <w:r>
        <w:rPr>
          <w:rFonts w:hint="eastAsia"/>
          <w:color w:val="000000" w:themeColor="text1"/>
          <w:highlight w:val="none"/>
          <w14:textFill>
            <w14:solidFill>
              <w14:schemeClr w14:val="tx1"/>
            </w14:solidFill>
          </w14:textFill>
        </w:rPr>
        <w:t xml:space="preserve">一、供应商信用承诺函</w:t>
      </w:r>
      <w:bookmarkEnd w:id="244"/>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供应商信用承诺函</w:t>
      </w:r>
      <w:r/>
    </w:p>
    <w:p>
      <w:pPr>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南京信诺工程造价咨询有限责任公司</w:t>
      </w:r>
      <w:r>
        <w:rPr>
          <w:rFonts w:hint="eastAsia" w:ascii="宋体" w:hAnsi="宋体"/>
          <w:color w:val="000000" w:themeColor="text1"/>
          <w:sz w:val="24"/>
          <w:szCs w:val="24"/>
          <w:highlight w:val="none"/>
          <w14:textFill>
            <w14:solidFill>
              <w14:schemeClr w14:val="tx1"/>
            </w14:solidFill>
          </w14:textFill>
        </w:rPr>
        <w:t xml:space="preserve">：</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我公司（供应商名称）郑重承诺：</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我公司符合下列要求：</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(一)具有独立承担民事责任的能力；</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(二)具有良好的商业信誉和健全的财务会计制度；</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(三)具有履行合同所必需的设备和专业技术能力；</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(四)有依法缴纳税收和社会保障资金的良好记录；</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(五)参加政府采购活动前三年内，在经营活动中没有重大违法记录。</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如果我公司中标，将在中标结果公示后七个工作日内向采购人提供下列材料核验：</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（1）营业执照副本或事业单位法人登记证书；</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（3）履行合同所必需的设备和专业技术能力证明材料；</w:t>
      </w:r>
      <w:r/>
    </w:p>
    <w:p>
      <w:pPr>
        <w:ind w:firstLine="492"/>
        <w:spacing w:line="4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（4）参加本次政府采购活动前一年内至少一个月依法缴纳税收和社会保障资金的证明材料。</w:t>
      </w:r>
      <w:r/>
    </w:p>
    <w:p>
      <w:pPr>
        <w:ind w:firstLine="492"/>
        <w:spacing w:line="4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本公司对上述承诺内容的真实性、合法性、有效性负责，如有虚假，将依法承担相应责任。</w:t>
      </w:r>
      <w:r/>
    </w:p>
    <w:p>
      <w:pPr>
        <w:ind w:firstLine="492"/>
        <w:spacing w:line="4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1009"/>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right="180" w:firstLine="360"/>
        <w:jc w:val="right"/>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ind w:firstLine="6240"/>
        <w:spacing w:line="560" w:lineRule="exact"/>
        <w:rPr>
          <w:rFonts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黑体" w:hAnsi="黑体" w:eastAsia="黑体"/>
          <w:color w:val="000000" w:themeColor="text1"/>
          <w:sz w:val="32"/>
          <w:szCs w:val="32"/>
          <w:highlight w:val="none"/>
          <w14:textFill>
            <w14:solidFill>
              <w14:schemeClr w14:val="tx1"/>
            </w14:solidFill>
          </w14:textFill>
        </w:rPr>
      </w:pPr>
      <w:r>
        <w:rPr>
          <w:rFonts w:ascii="黑体" w:hAnsi="黑体" w:eastAsia="黑体"/>
          <w:color w:val="000000" w:themeColor="text1"/>
          <w:sz w:val="32"/>
          <w:szCs w:val="32"/>
          <w:highlight w:val="none"/>
          <w14:textFill>
            <w14:solidFill>
              <w14:schemeClr w14:val="tx1"/>
            </w14:solidFill>
          </w14:textFill>
        </w:rPr>
      </w:r>
      <w:r/>
    </w:p>
    <w:p>
      <w:pPr>
        <w:jc w:val="left"/>
        <w:widowControl/>
        <w:rPr>
          <w:rFonts w:ascii="黑体" w:hAnsi="黑体" w:eastAsia="黑体"/>
          <w:color w:val="000000" w:themeColor="text1"/>
          <w:sz w:val="32"/>
          <w:szCs w:val="32"/>
          <w:highlight w:val="none"/>
          <w14:textFill>
            <w14:solidFill>
              <w14:schemeClr w14:val="tx1"/>
            </w14:solidFill>
          </w14:textFill>
        </w:rPr>
      </w:pPr>
      <w:r>
        <w:rPr>
          <w:rFonts w:ascii="黑体" w:hAnsi="黑体" w:eastAsia="黑体"/>
          <w:color w:val="000000" w:themeColor="text1"/>
          <w:sz w:val="32"/>
          <w:szCs w:val="32"/>
          <w:highlight w:val="none"/>
          <w14:textFill>
            <w14:solidFill>
              <w14:schemeClr w14:val="tx1"/>
            </w14:solidFill>
          </w14:textFill>
        </w:rPr>
        <w:br w:type="page" w:clear="all"/>
      </w:r>
      <w:r/>
    </w:p>
    <w:p>
      <w:pPr>
        <w:pStyle w:val="724"/>
        <w:rPr>
          <w:i/>
          <w:color w:val="000000" w:themeColor="text1"/>
          <w:highlight w:val="none"/>
          <w:u w:val="single"/>
          <w14:textFill>
            <w14:solidFill>
              <w14:schemeClr w14:val="tx1"/>
            </w14:solidFill>
          </w14:textFill>
        </w:rPr>
      </w:pPr>
      <w:r/>
      <w:bookmarkStart w:id="245" w:name="_Toc27337"/>
      <w:r>
        <w:rPr>
          <w:rFonts w:hint="eastAsia"/>
          <w:color w:val="000000" w:themeColor="text1"/>
          <w:highlight w:val="none"/>
          <w14:textFill>
            <w14:solidFill>
              <w14:schemeClr w14:val="tx1"/>
            </w14:solidFill>
          </w14:textFill>
        </w:rPr>
        <w:t xml:space="preserve">二、</w:t>
      </w:r>
      <w:r>
        <w:rPr>
          <w:rFonts w:hint="eastAsia"/>
          <w:color w:val="000000" w:themeColor="text1"/>
          <w:highlight w:val="none"/>
          <w:lang w:val="en-US"/>
          <w14:textFill>
            <w14:solidFill>
              <w14:schemeClr w14:val="tx1"/>
            </w14:solidFill>
          </w14:textFill>
        </w:rPr>
        <w:t xml:space="preserve">满足</w:t>
      </w:r>
      <w:r>
        <w:rPr>
          <w:rFonts w:hint="eastAsia"/>
          <w:color w:val="000000" w:themeColor="text1"/>
          <w:highlight w:val="none"/>
          <w14:textFill>
            <w14:solidFill>
              <w14:schemeClr w14:val="tx1"/>
            </w14:solidFill>
          </w14:textFill>
        </w:rPr>
        <w:t xml:space="preserve">特定资格要求的证明文件</w:t>
      </w:r>
      <w:bookmarkEnd w:id="245"/>
      <w:r/>
      <w:r/>
    </w:p>
    <w:p>
      <w:pPr>
        <w:pStyle w:val="982"/>
        <w:ind w:firstLine="480"/>
        <w:spacing w:after="145"/>
        <w:tabs>
          <w:tab w:val="left" w:pos="360" w:leader="none"/>
        </w:tabs>
        <w:rPr>
          <w:rFonts w:ascii="Times New Roman" w:hAnsi="Times New Roman"/>
          <w:color w:val="000000" w:themeColor="text1"/>
          <w:szCs w:val="24"/>
          <w:highlight w:val="none"/>
          <w14:textFill>
            <w14:solidFill>
              <w14:schemeClr w14:val="tx1"/>
            </w14:solidFill>
          </w14:textFill>
        </w:rPr>
      </w:pPr>
      <w:r>
        <w:rPr>
          <w:rFonts w:hint="eastAsia" w:ascii="Times New Roman" w:hAnsi="Times New Roman"/>
          <w:color w:val="000000" w:themeColor="text1"/>
          <w:szCs w:val="24"/>
          <w:highlight w:val="none"/>
          <w14:textFill>
            <w14:solidFill>
              <w14:schemeClr w14:val="tx1"/>
            </w14:solidFill>
          </w14:textFill>
        </w:rPr>
        <w:t xml:space="preserve">本项目申请人的特定资格要求中要求提供的材料。</w:t>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pStyle w:val="1011"/>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rPr>
          <w:rFonts w:ascii="黑体" w:hAnsi="黑体" w:eastAsia="黑体"/>
          <w:i/>
          <w:color w:val="000000" w:themeColor="text1"/>
          <w:sz w:val="32"/>
          <w:szCs w:val="32"/>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r>
      <w:r/>
    </w:p>
    <w:p>
      <w:pPr>
        <w:pStyle w:val="109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46" w:name="_Toc12519"/>
      <w:r>
        <w:rPr>
          <w:rFonts w:hint="eastAsia"/>
          <w:color w:val="000000" w:themeColor="text1"/>
          <w:highlight w:val="none"/>
          <w14:textFill>
            <w14:solidFill>
              <w14:schemeClr w14:val="tx1"/>
            </w14:solidFill>
          </w14:textFill>
        </w:rPr>
        <w:t xml:space="preserve">三、法人授权书</w:t>
      </w:r>
      <w:bookmarkEnd w:id="246"/>
      <w:r/>
      <w:r/>
    </w:p>
    <w:p>
      <w:pPr>
        <w:jc w:val="center"/>
        <w:spacing w:line="420" w:lineRule="exact"/>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法人授权书</w:t>
      </w:r>
      <w:r/>
    </w:p>
    <w:p>
      <w:pPr>
        <w:pStyle w:val="982"/>
        <w:ind w:firstLine="480"/>
        <w:spacing w:after="145" w:line="480" w:lineRule="exact"/>
        <w:tabs>
          <w:tab w:val="left" w:pos="360" w:leader="none"/>
        </w:tabs>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本授权书声明：（供应商名称）授权（被授权人姓名）作为我方参加编号为项目采购活动的合法代理人，以本单位名义全权处理一切与该项目采购有关的事务。</w:t>
      </w:r>
      <w:r/>
    </w:p>
    <w:p>
      <w:pPr>
        <w:pStyle w:val="982"/>
        <w:ind w:firstLine="480"/>
        <w:spacing w:after="145" w:line="480" w:lineRule="exact"/>
        <w:tabs>
          <w:tab w:val="left" w:pos="360" w:leader="none"/>
        </w:tabs>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本授权书自______年____月____日起生效，特此声明。</w:t>
      </w:r>
      <w:r/>
    </w:p>
    <w:p>
      <w:pPr>
        <w:pStyle w:val="982"/>
        <w:ind w:firstLine="480"/>
        <w:spacing w:after="145" w:line="480" w:lineRule="exact"/>
        <w:tabs>
          <w:tab w:val="left" w:pos="360" w:leader="none"/>
        </w:tabs>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被授权人身份证号码：</w:t>
      </w:r>
      <w:r/>
    </w:p>
    <w:p>
      <w:pPr>
        <w:pStyle w:val="982"/>
        <w:ind w:firstLine="480"/>
        <w:spacing w:after="145" w:line="480" w:lineRule="exact"/>
        <w:tabs>
          <w:tab w:val="left" w:pos="360" w:leader="none"/>
        </w:tabs>
        <w:rPr>
          <w:color w:val="000000" w:themeColor="text1"/>
          <w:szCs w:val="24"/>
          <w:highlight w:val="none"/>
          <w:u w:val="singl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被授权人联系电话：（手机）</w:t>
      </w:r>
      <w:r/>
    </w:p>
    <w:p>
      <w:pPr>
        <w:pStyle w:val="982"/>
        <w:ind w:firstLine="468"/>
        <w:spacing w:after="145" w:line="480" w:lineRule="exact"/>
        <w:tabs>
          <w:tab w:val="left" w:pos="360" w:leader="none"/>
        </w:tabs>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单位名称：</w:t>
      </w:r>
      <w:r>
        <w:rPr>
          <w:rFonts w:hint="eastAsia" w:ascii="宋体" w:hAnsi="宋体" w:cs="宋体"/>
          <w:color w:val="000000" w:themeColor="text1"/>
          <w:szCs w:val="24"/>
          <w:highlight w:val="none"/>
          <w14:textFill>
            <w14:solidFill>
              <w14:schemeClr w14:val="tx1"/>
            </w14:solidFill>
          </w14:textFill>
        </w:rPr>
        <w:t xml:space="preserve">（加盖电子公章）</w:t>
      </w:r>
      <w:r/>
    </w:p>
    <w:p>
      <w:pPr>
        <w:pStyle w:val="982"/>
        <w:ind w:firstLine="480"/>
        <w:spacing w:after="145" w:line="480" w:lineRule="exact"/>
        <w:tabs>
          <w:tab w:val="left" w:pos="360" w:leader="none"/>
        </w:tabs>
        <w:rPr>
          <w:color w:val="000000" w:themeColor="text1"/>
          <w:szCs w:val="24"/>
          <w:highlight w:val="none"/>
          <w:u w:val="singl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单位地址：</w:t>
      </w:r>
      <w:r/>
    </w:p>
    <w:p>
      <w:pPr>
        <w:pStyle w:val="982"/>
        <w:ind w:firstLine="480"/>
        <w:spacing w:after="145" w:line="480" w:lineRule="exact"/>
        <w:tabs>
          <w:tab w:val="left" w:pos="360" w:leader="none"/>
        </w:tabs>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日    期：</w:t>
      </w:r>
      <w:bookmarkStart w:id="247" w:name="_Hlt26671380"/>
      <w:r/>
      <w:bookmarkEnd w:id="247"/>
      <w:r/>
      <w:bookmarkStart w:id="248" w:name="_Hlt26955070"/>
      <w:r/>
      <w:bookmarkEnd w:id="248"/>
      <w:r/>
      <w:bookmarkStart w:id="249" w:name="_格式3__银行出具的资信证明"/>
      <w:r/>
      <w:bookmarkEnd w:id="249"/>
      <w:r/>
      <w:r/>
    </w:p>
    <w:p>
      <w:pPr>
        <w:pStyle w:val="735"/>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pStyle w:val="735"/>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pStyle w:val="735"/>
        <w:rPr>
          <w:i/>
          <w:color w:val="000000" w:themeColor="text1"/>
          <w:sz w:val="24"/>
          <w:szCs w:val="24"/>
          <w:highlight w:val="none"/>
          <w:u w:val="single"/>
          <w14:textFill>
            <w14:solidFill>
              <w14:schemeClr w14:val="tx1"/>
            </w14:solidFill>
          </w14:textFill>
        </w:rPr>
      </w:pPr>
      <w:r>
        <w:rPr>
          <w:i/>
          <w:color w:val="000000" w:themeColor="text1"/>
          <w:sz w:val="24"/>
          <w:szCs w:val="24"/>
          <w:highlight w:val="none"/>
          <w:u w:val="single"/>
          <w14:textFill>
            <w14:solidFill>
              <w14:schemeClr w14:val="tx1"/>
            </w14:solidFill>
          </w14:textFill>
        </w:rPr>
      </w:r>
      <w:r/>
    </w:p>
    <w:p>
      <w:pPr>
        <w:pStyle w:val="73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60" w:lineRule="exact"/>
        <w:rPr>
          <w:rFonts w:ascii="楷体" w:hAnsi="楷体" w:eastAsia="楷体"/>
          <w:bCs/>
          <w:color w:val="000000" w:themeColor="text1"/>
          <w:sz w:val="24"/>
          <w:szCs w:val="24"/>
          <w:highlight w:val="none"/>
          <w14:textFill>
            <w14:solidFill>
              <w14:schemeClr w14:val="tx1"/>
            </w14:solidFill>
          </w14:textFill>
        </w:rPr>
      </w:pPr>
      <w:r>
        <w:rPr>
          <w:rFonts w:ascii="楷体" w:hAnsi="楷体" w:eastAsia="楷体"/>
          <w:bCs/>
          <w:color w:val="000000" w:themeColor="text1"/>
          <w:sz w:val="24"/>
          <w:szCs w:val="24"/>
          <w:highlight w:val="none"/>
          <w14:textFill>
            <w14:solidFill>
              <w14:schemeClr w14:val="tx1"/>
            </w14:solidFill>
          </w14:textFill>
        </w:rPr>
      </w:r>
      <w:r/>
    </w:p>
    <w:p>
      <w:pPr>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pStyle w:val="972"/>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p>
      <w:pPr>
        <w:jc w:val="left"/>
        <w:widowControl/>
        <w:rPr>
          <w:rFonts w:ascii="宋体" w:hAnsi="宋体" w:cs="宋体"/>
          <w:bCs/>
          <w:color w:val="000000" w:themeColor="text1"/>
          <w:sz w:val="24"/>
          <w:szCs w:val="21"/>
          <w:highlight w:val="none"/>
          <w:lang w:val="zh-CN" w:bidi="zh-CN"/>
          <w14:textFill>
            <w14:solidFill>
              <w14:schemeClr w14:val="tx1"/>
            </w14:solidFill>
          </w14:textFill>
        </w:rPr>
      </w:pPr>
      <w:r>
        <w:rPr>
          <w:bCs/>
          <w:color w:val="000000" w:themeColor="text1"/>
          <w:sz w:val="24"/>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50" w:name="_Toc18416"/>
      <w:r>
        <w:rPr>
          <w:rFonts w:hint="eastAsia"/>
          <w:color w:val="000000" w:themeColor="text1"/>
          <w:highlight w:val="none"/>
          <w14:textFill>
            <w14:solidFill>
              <w14:schemeClr w14:val="tx1"/>
            </w14:solidFill>
          </w14:textFill>
        </w:rPr>
        <w:t xml:space="preserve">四、投标函</w:t>
      </w:r>
      <w:bookmarkEnd w:id="250"/>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投标函</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u w:val="single"/>
          <w14:textFill>
            <w14:solidFill>
              <w14:schemeClr w14:val="tx1"/>
            </w14:solidFill>
          </w14:textFill>
        </w:rPr>
        <w:t xml:space="preserve">南京信诺工程造价咨询有限责任公司</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根据贵方编号为</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项目招标文件，我方正式提</w:t>
      </w:r>
      <w:r>
        <w:rPr>
          <w:rFonts w:hint="eastAsia" w:ascii="宋体" w:hAnsi="宋体" w:cs="宋体"/>
          <w:color w:val="000000" w:themeColor="text1"/>
          <w:highlight w:val="none"/>
          <w14:textFill>
            <w14:solidFill>
              <w14:schemeClr w14:val="tx1"/>
            </w14:solidFill>
          </w14:textFill>
        </w:rPr>
        <w:t xml:space="preserve">交投标函，</w:t>
      </w:r>
      <w:r>
        <w:rPr>
          <w:rFonts w:hint="eastAsia" w:ascii="宋体" w:hAnsi="宋体"/>
          <w:color w:val="000000" w:themeColor="text1"/>
          <w:szCs w:val="21"/>
          <w:highlight w:val="none"/>
          <w14:textFill>
            <w14:solidFill>
              <w14:schemeClr w14:val="tx1"/>
            </w14:solidFill>
          </w14:textFill>
        </w:rPr>
        <w:t xml:space="preserve">并宣布同意如下内容：</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1.按招标文件规定的各项要求，向买方提供所需服务（包含与服务相关的货物）。</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2.我们完全理解贵方不一定将合同授予最低报价的供应商。</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7.我方为：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大型企业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微型企业（在对应</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lang w:val="zh-CN"/>
          <w14:textFill>
            <w14:solidFill>
              <w14:schemeClr w14:val="tx1"/>
            </w14:solidFill>
          </w14:textFill>
        </w:rPr>
        <w:t xml:space="preserve">打</w:t>
      </w:r>
      <w:r>
        <w:rPr>
          <w:rFonts w:hint="eastAsia" w:ascii="宋体" w:hAnsi="宋体" w:cs="Verdana"/>
          <w:color w:val="000000" w:themeColor="text1"/>
          <w:sz w:val="24"/>
          <w:szCs w:val="24"/>
          <w:highlight w:val="none"/>
          <w:lang w:val="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8.我方与本次投标有关信息</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984"/>
        <w:spacing w:before="0" w:after="0" w:line="42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984"/>
        <w:spacing w:before="0" w:after="0" w:line="42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984"/>
        <w:spacing w:before="0" w:after="0" w:line="42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开户行：</w:t>
      </w:r>
      <w:r/>
    </w:p>
    <w:p>
      <w:pPr>
        <w:pStyle w:val="984"/>
        <w:spacing w:before="0" w:after="0" w:line="42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w:t>
      </w:r>
      <w:r/>
    </w:p>
    <w:p>
      <w:pPr>
        <w:ind w:right="180"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pStyle w:val="98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w:t>
      </w:r>
      <w:r/>
    </w:p>
    <w:p>
      <w:pPr>
        <w:pStyle w:val="984"/>
        <w:ind w:left="420"/>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984"/>
        <w:ind w:left="420"/>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widowControl/>
        <w:rPr>
          <w:rFonts w:ascii="宋体" w:hAnsi="宋体"/>
          <w:b/>
          <w:bCs/>
          <w:color w:val="000000" w:themeColor="text1"/>
          <w:sz w:val="24"/>
          <w:szCs w:val="32"/>
          <w:highlight w:val="none"/>
          <w:lang w:val="zh-CN"/>
          <w14:textFill>
            <w14:solidFill>
              <w14:schemeClr w14:val="tx1"/>
            </w14:solidFill>
          </w14:textFill>
        </w:rPr>
      </w:pPr>
      <w:r>
        <w:rPr>
          <w:color w:val="000000" w:themeColor="text1"/>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51" w:name="_Toc29532"/>
      <w:r>
        <w:rPr>
          <w:rFonts w:hint="eastAsia"/>
          <w:color w:val="000000" w:themeColor="text1"/>
          <w:highlight w:val="none"/>
          <w14:textFill>
            <w14:solidFill>
              <w14:schemeClr w14:val="tx1"/>
            </w14:solidFill>
          </w14:textFill>
        </w:rPr>
        <w:t xml:space="preserve">五、开标一览表</w:t>
      </w:r>
      <w:bookmarkEnd w:id="251"/>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开标一览表</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spacing w:line="480" w:lineRule="auto"/>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分包号：</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5762"/>
        <w:gridCol w:w="1749"/>
      </w:tblGrid>
      <w:tr>
        <w:trPr>
          <w:trHeight w:val="10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投标报价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62" w:type="dxa"/>
            <w:vAlign w:val="center"/>
            <w:textDirection w:val="lrTb"/>
            <w:noWrap w:val="false"/>
          </w:tcPr>
          <w:p>
            <w:pPr>
              <w:ind w:firstLine="47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备注：</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服务时间/交付使用时间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2" w:type="dxa"/>
            <w:vAlign w:val="center"/>
            <w:textDirection w:val="lrTb"/>
            <w:noWrap w:val="false"/>
          </w:tcPr>
          <w:p>
            <w:pPr>
              <w:ind w:firstLine="47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u w:val="single"/>
                <w14:textFill>
                  <w14:solidFill>
                    <w14:schemeClr w14:val="tx1"/>
                  </w14:solidFill>
                </w14:textFill>
              </w:rPr>
              <w:t xml:space="preserve">满足招标文件要求</w:t>
            </w:r>
            <w:r>
              <w:rPr>
                <w:rFonts w:ascii="宋体" w:hAnsi="宋体" w:cs="宋体"/>
                <w:color w:val="000000" w:themeColor="text1"/>
                <w:highlight w:val="none"/>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firstLine="472"/>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8"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62" w:type="dxa"/>
            <w:vAlign w:val="center"/>
            <w:textDirection w:val="lrTb"/>
            <w:noWrap w:val="false"/>
          </w:tcPr>
          <w:p>
            <w:pPr>
              <w:ind w:firstLine="474"/>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（填写“是”或“否）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9" w:type="dxa"/>
            <w:vAlign w:val="center"/>
            <w:textDirection w:val="lrTb"/>
            <w:noWrap w:val="false"/>
          </w:tcPr>
          <w:p>
            <w:pPr>
              <w:ind w:firstLine="472"/>
              <w:spacing w:line="43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bl>
    <w:p>
      <w:pPr>
        <w:spacing w:line="48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480" w:lineRule="auto"/>
        <w:rPr>
          <w:rFonts w:ascii="黑体" w:hAnsi="黑体" w:eastAsia="黑体"/>
          <w:b/>
          <w:i/>
          <w:color w:val="000000" w:themeColor="text1"/>
          <w:sz w:val="32"/>
          <w:szCs w:val="32"/>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  期：</w:t>
      </w:r>
      <w:r/>
    </w:p>
    <w:p>
      <w:pPr>
        <w:numPr>
          <w:ilvl w:val="0"/>
          <w:numId w:val="2"/>
        </w:num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本项目仅接受一个价格，不得填报有选择性报价方案。如有优惠条款须注明，但不得影响报价，影响项目履约交付。</w:t>
      </w:r>
      <w:r/>
    </w:p>
    <w:p>
      <w:pPr>
        <w:ind w:firstLine="420"/>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07" w:gutter="0"/>
          <w:cols w:num="1" w:sep="0" w:space="0" w:equalWidth="1"/>
          <w:docGrid w:linePitch="360"/>
          <w:titlePg/>
        </w:sectPr>
      </w:pPr>
      <w:r>
        <w:rPr>
          <w:color w:val="000000" w:themeColor="text1"/>
          <w:highlight w:val="none"/>
          <w14:textFill>
            <w14:solidFill>
              <w14:schemeClr w14:val="tx1"/>
            </w14:solidFill>
          </w14:textFill>
        </w:rPr>
      </w:r>
      <w:r/>
    </w:p>
    <w:p>
      <w:pPr>
        <w:spacing w:line="85" w:lineRule="atLeast"/>
        <w:shd w:val="clear" w:color="ffffff" w:fill="ffffff"/>
        <w:rPr>
          <w:color w:val="000000" w:themeColor="text1"/>
          <w:sz w:val="28"/>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52" w:name="_Toc22902"/>
      <w:r>
        <w:rPr>
          <w:rFonts w:hint="eastAsia"/>
          <w:color w:val="000000" w:themeColor="text1"/>
          <w:sz w:val="28"/>
          <w:szCs w:val="24"/>
          <w:highlight w:val="none"/>
          <w14:textFill>
            <w14:solidFill>
              <w14:schemeClr w14:val="tx1"/>
            </w14:solidFill>
          </w14:textFill>
        </w:rPr>
        <w:t xml:space="preserve">六、投标报价表</w:t>
      </w:r>
      <w:bookmarkEnd w:id="252"/>
      <w:r/>
      <w:r/>
    </w:p>
    <w:p>
      <w:pPr>
        <w:jc w:val="center"/>
        <w:spacing w:line="360" w:lineRule="auto"/>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lang w:eastAsia="zh-CN"/>
          <w14:textFill>
            <w14:solidFill>
              <w14:schemeClr w14:val="tx1"/>
            </w14:solidFill>
          </w14:textFill>
        </w:rPr>
        <w:t xml:space="preserve">（</w:t>
      </w: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t xml:space="preserve">一</w:t>
      </w:r>
      <w:r>
        <w:rPr>
          <w:rFonts w:hint="eastAsia" w:ascii="方正小标宋简体" w:hAnsi="方正小标宋简体" w:eastAsia="方正小标宋简体" w:cs="方正小标宋简体"/>
          <w:color w:val="000000" w:themeColor="text1"/>
          <w:sz w:val="32"/>
          <w:szCs w:val="32"/>
          <w:highlight w:val="none"/>
          <w:lang w:eastAsia="zh-CN"/>
          <w14:textFill>
            <w14:solidFill>
              <w14:schemeClr w14:val="tx1"/>
            </w14:solidFill>
          </w14:textFill>
        </w:rPr>
        <w:t xml:space="preserve">）</w:t>
      </w: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投标报价表</w:t>
      </w:r>
      <w:r/>
    </w:p>
    <w:tbl>
      <w:tblPr>
        <w:tblStyle w:val="733"/>
        <w:tblW w:w="138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0"/>
        <w:gridCol w:w="2505"/>
        <w:gridCol w:w="9108"/>
        <w:gridCol w:w="1637"/>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总价（元）</w:t>
            </w:r>
            <w:r/>
          </w:p>
        </w:tc>
      </w:tr>
      <w:tr>
        <w:trPr>
          <w:trHeight w:val="173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专家策展服务采购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1、策划文案、内容排版：深化到策展大纲一级标题展区名、二级标题展项名、三级标题展示内容，方案落地对接；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2、方案设计：整体方案设计（根据采购需求整体规划设计），方案落地对接；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3、空间设计：设计效果图（平面图、参观流线图、空间效果图），方案落地对接；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4、施工图（平面图、墙体立面图、灯具定位图等），方案落地对接；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5、展面平面排版、材质及大小设计，方案落地对接；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6、整体方案、策划由专家策展顾问</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17"/>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文物保护服务采购</w:t>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胜棋楼、郁金堂、苏合厢为文物建筑，进行施工时采取一系列科学、合理且有效的措施，避免施工活动对周边文物建筑的结构安全、外观风貌以及历史文化价值等造成损害，确保文物建筑能得到妥善保存和延续，采用环保型的施工材料和工艺，减少施工过程中的化学物质排放，建立文物建筑保护应急预案，明确在发生突发情况，如火灾、坍塌等时的应急响应流程和责任分工，对施工人员进行文物保护知识培训，培训内容包括文物建筑的历史价值、保护要求以及施工过程中的注意事项</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布展服务采购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1、华严庵：改装装饰面，新做定制玻璃展柜；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2、胜棋楼：玻璃展根据设计布局及展品布置新做定制玻璃展柜；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3、苏合厢：邮局展墙花坛及花木调整/新增桌、椅、展品墙改造、新增邮筒；</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383"/>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1、华严庵：《莫愁湖志》善本复制件、清代舆图、民国老照片，华严庵建筑功能流变以图文+老照片呈现；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2、华严庵室外：古树名木创意铭牌、导览牌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3、胜棋楼：展品和文物进行复用展示；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4、苏合厢：展示莫愁文化相应的文创产品、更换墙面展示板；</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1、根据展区方案新增点位不限于照明灯具、开关、插座监控；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2、设备集成化调试</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3、定制沙盘</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vMerge w:val="continue"/>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638"/>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多媒体影片服务采购</w:t>
            </w:r>
            <w:r/>
          </w:p>
        </w:tc>
        <w:tc>
          <w:tcPr>
            <w:shd w:val="clear" w:color="auto" w:fill="auto"/>
            <w:tcBorders>
              <w:top w:val="single" w:color="000000" w:sz="4" w:space="0"/>
              <w:left w:val="single" w:color="000000" w:sz="4" w:space="0"/>
              <w:bottom w:val="single" w:color="000000" w:sz="4" w:space="0"/>
              <w:right w:val="single" w:color="000000" w:sz="4" w:space="0"/>
            </w:tcBorders>
            <w:tcW w:w="910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1、多媒体设备（ AR设备、音箱、主机、中控、平板等）采购安装并调试等设备安装；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2.项目定制数字影片/交互/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3、数字人（莫愁女）依据三维模型AI生成IP形象的莫愁女数字人，对数字人声音、动作、形象进行定制，通过数字人能实现语音交互、导览、文字介绍、线上运营等功能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4、部分文物数字化采集及复原</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523"/>
        </w:trPr>
        <w:tc>
          <w:tcPr>
            <w:gridSpan w:val="3"/>
            <w:shd w:val="clear" w:color="auto" w:fill="auto"/>
            <w:tcBorders>
              <w:top w:val="single" w:color="000000" w:sz="4" w:space="0"/>
              <w:left w:val="single" w:color="000000" w:sz="4" w:space="0"/>
              <w:bottom w:val="single" w:color="000000" w:sz="4" w:space="0"/>
              <w:right w:val="single" w:color="000000" w:sz="4" w:space="0"/>
            </w:tcBorders>
            <w:tcW w:w="1224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合计</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（含税价）</w:t>
            </w:r>
            <w:r/>
          </w:p>
        </w:tc>
        <w:tc>
          <w:tcPr>
            <w:shd w:val="clear" w:color="auto" w:fill="auto"/>
            <w:tcBorders>
              <w:top w:val="single" w:color="000000" w:sz="4" w:space="0"/>
              <w:left w:val="single" w:color="000000" w:sz="4" w:space="0"/>
              <w:bottom w:val="single" w:color="000000" w:sz="4" w:space="0"/>
              <w:right w:val="single" w:color="000000" w:sz="4" w:space="0"/>
            </w:tcBorders>
            <w:tcW w:w="163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bl>
    <w:p>
      <w:pPr>
        <w:pStyle w:val="7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2"/>
        <w:jc w:val="center"/>
        <w:spacing w:before="0" w:beforeAutospacing="0" w:after="0" w:afterAutospacing="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r>
      <w:r/>
    </w:p>
    <w:p>
      <w:pPr>
        <w:numPr>
          <w:ilvl w:val="0"/>
          <w:numId w:val="0"/>
        </w:numPr>
        <w:ind w:right="180" w:firstLine="480"/>
        <w:jc w:val="center"/>
        <w:spacing w:line="360" w:lineRule="auto"/>
        <w:rPr>
          <w:rFonts w:hint="eastAsia" w:ascii="宋体" w:hAnsi="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bidi="ar-SA"/>
          <w14:textFill>
            <w14:solidFill>
              <w14:schemeClr w14:val="tx1"/>
            </w14:solidFill>
          </w14:textFill>
        </w:rPr>
        <w:t xml:space="preserve">（二）</w:t>
      </w:r>
      <w:r>
        <w:rPr>
          <w:rFonts w:hint="eastAsia" w:ascii="宋体" w:hAnsi="宋体"/>
          <w:b/>
          <w:bCs/>
          <w:color w:val="000000" w:themeColor="text1"/>
          <w:sz w:val="32"/>
          <w:szCs w:val="32"/>
          <w:highlight w:val="none"/>
          <w:lang w:val="en-US" w:eastAsia="zh-CN"/>
          <w14:textFill>
            <w14:solidFill>
              <w14:schemeClr w14:val="tx1"/>
            </w14:solidFill>
          </w14:textFill>
        </w:rPr>
        <w:t xml:space="preserve">分项报价表</w:t>
      </w:r>
      <w:r/>
    </w:p>
    <w:p>
      <w:pPr>
        <w:pStyle w:val="787"/>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分项报价表（1）：关于专家策展服务采购项目的采购清单</w:t>
      </w:r>
      <w:r/>
    </w:p>
    <w:tbl>
      <w:tblPr>
        <w:tblStyle w:val="733"/>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9"/>
        <w:gridCol w:w="1897"/>
        <w:gridCol w:w="7889"/>
        <w:gridCol w:w="838"/>
        <w:gridCol w:w="890"/>
        <w:gridCol w:w="890"/>
        <w:gridCol w:w="890"/>
      </w:tblGrid>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788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单价（元）</w:t>
            </w:r>
            <w:r/>
          </w:p>
        </w:tc>
        <w:tc>
          <w:tcPr>
            <w:shd w:val="clear" w:color="auto"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合价（元）</w:t>
            </w:r>
            <w:r/>
          </w:p>
        </w:tc>
      </w:tr>
      <w:tr>
        <w:trPr>
          <w:trHeight w:val="1690"/>
        </w:trPr>
        <w:tc>
          <w:tcPr>
            <w:shd w:val="clear" w:color="auto" w:fill="auto"/>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专家策展服务采购</w:t>
            </w:r>
            <w:r/>
          </w:p>
        </w:tc>
        <w:tc>
          <w:tcPr>
            <w:shd w:val="clear" w:color="auto" w:fill="auto"/>
            <w:tcBorders>
              <w:top w:val="single" w:color="000000" w:sz="4" w:space="0"/>
              <w:left w:val="single" w:color="000000" w:sz="4" w:space="0"/>
              <w:bottom w:val="single" w:color="000000" w:sz="4" w:space="0"/>
              <w:right w:val="single" w:color="000000" w:sz="4" w:space="0"/>
            </w:tcBorders>
            <w:tcW w:w="788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1、策划文案、内容排版：深化到策展大纲一级标题展区名、二级标题展项名、三级标题展示内容，方案落地对接；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2、方案设计：整体方案设计（根据采购需求整体规划设计），方案落地对接；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3、空间设计：设计效果图（平面图、参观流线图、空间效果图），方案落地对接；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4、施工图（平面图、立面图、设备定位图等），方案落地对接；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5、展面平面排版、材质及大小设计，方案落地对接；</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6、整体方案、策划由专家策展顾问</w:t>
            </w:r>
            <w:r/>
          </w:p>
        </w:tc>
        <w:tc>
          <w:tcPr>
            <w:shd w:val="clear" w:color="auto" w:fill="auto"/>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740 </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534"/>
        </w:trPr>
        <w:tc>
          <w:tcPr>
            <w:gridSpan w:val="6"/>
            <w:shd w:val="clear" w:color="auto" w:fill="auto"/>
            <w:tcBorders>
              <w:top w:val="single" w:color="000000" w:sz="4" w:space="0"/>
              <w:left w:val="single" w:color="000000" w:sz="4" w:space="0"/>
              <w:bottom w:val="single" w:color="000000" w:sz="4" w:space="0"/>
              <w:right w:val="single" w:color="000000" w:sz="4" w:space="0"/>
            </w:tcBorders>
            <w:tcW w:w="12973" w:type="dxa"/>
            <w:vAlign w:val="center"/>
            <w:textDirection w:val="lrTb"/>
            <w:noWrap w:val="false"/>
          </w:tcPr>
          <w:p>
            <w:pPr>
              <w:jc w:val="center"/>
              <w:keepLines w:val="0"/>
              <w:keepNext w:val="0"/>
              <w:widowControl/>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总价</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（含税价）</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bl>
    <w:p>
      <w:pPr>
        <w:spacing w:line="360" w:lineRule="auto"/>
        <w:shd w:val="clear" w:color="ffffff" w:fill="ffffff"/>
        <w:rPr>
          <w:rFonts w:cs="宋体" w:asciiTheme="minorEastAsia" w:hAnsiTheme="minorEastAsia" w:eastAsiaTheme="minorEastAsia"/>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themeColor="text1"/>
          <w:szCs w:val="21"/>
          <w:highlight w:val="none"/>
          <w14:textFill>
            <w14:solidFill>
              <w14:schemeClr w14:val="tx1"/>
            </w14:solidFill>
          </w14:textFill>
        </w:rPr>
      </w:r>
      <w:r/>
    </w:p>
    <w:p>
      <w:pP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br w:type="page" w:clear="all"/>
      </w:r>
      <w:r/>
    </w:p>
    <w:p>
      <w:pPr>
        <w:ind w:firstLine="281"/>
        <w:spacing w:line="360" w:lineRule="auto"/>
        <w:shd w:val="clear" w:color="ffffff" w:fill="ffffff"/>
        <w:rPr>
          <w:rFonts w:cs="宋体" w:asciiTheme="minorEastAsia" w:hAnsiTheme="minorEastAsia" w:eastAsiaTheme="minorEastAsia"/>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分项报价表（2）：关于莫愁湖文物保护服务类项目的采购清单</w:t>
      </w:r>
      <w:r/>
    </w:p>
    <w:tbl>
      <w:tblPr>
        <w:tblStyle w:val="733"/>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2"/>
        <w:gridCol w:w="1023"/>
        <w:gridCol w:w="9039"/>
        <w:gridCol w:w="845"/>
        <w:gridCol w:w="748"/>
        <w:gridCol w:w="879"/>
        <w:gridCol w:w="879"/>
      </w:tblGrid>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内容</w:t>
            </w:r>
            <w:r/>
          </w:p>
        </w:tc>
        <w:tc>
          <w:tcPr>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单价（元）</w:t>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合价（元）</w:t>
            </w:r>
            <w:r/>
          </w:p>
        </w:tc>
      </w:tr>
      <w:tr>
        <w:trPr>
          <w:trHeight w:val="1447"/>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文物保护方案及措施</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胜棋楼、郁金堂、苏合厢为文物建筑，进行施工时采取一系列科学、合理且有效的措施，避免施工活动对周边文物建筑的结构安全、外观风貌以及历史文化价值等造成损害，确保文物建筑能得到妥善保存和延续，采用环保型的施工材料和工艺，减少施工过程中的化学物质排放，建立文物建筑保护应急预案，明确在发生突发情况，如火灾、坍塌等时的应急响应流程和责任分工，对施工人员进行文物保护知识培训，培训内容包括文物建筑的历史价值、保护要求以及施工过程中的注意事项</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地面保护</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原有地面整铺单层纸面9.5mm石膏板对地面进行保护，以及施工结束后拆除以及拆除垃圾外运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740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墙面保护</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原有墙面及墙面特别是古建墙体进行保护膜贴面，针对靠近古建墙体的还要做临时喷绘布格挡，以及施工结束后拆除以及拆除垃圾外运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2220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顶面保护</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顶面古建屋顶保护，因施工涉及动火作业，古建为木制结构，顶部统一采用防火布吊顶保护，及后面施工结束拆除后的二次垃圾外运</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文物保护</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瓷器120件、字画15副定制木盒统一保管存放（存放需进入专业的文保仓库24小时防盗、监控）</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天</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古董家具保护</w:t>
            </w:r>
            <w:r/>
          </w:p>
        </w:tc>
        <w:tc>
          <w:tcPr>
            <w:shd w:val="clear" w:color="auto" w:fill="auto"/>
            <w:tcBorders>
              <w:top w:val="single" w:color="000000" w:sz="4" w:space="0"/>
              <w:left w:val="single" w:color="000000" w:sz="4" w:space="0"/>
              <w:bottom w:val="single" w:color="000000" w:sz="4" w:space="0"/>
              <w:right w:val="single" w:color="000000" w:sz="4" w:space="0"/>
            </w:tcBorders>
            <w:tcW w:w="9039"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古董家具纸质箱体套膜保护，保护时注意家具不得有划痕，不得触摸家具，以及施工结束后拆除以及拆除垃圾外运</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12986" w:type="dxa"/>
            <w:vAlign w:val="center"/>
            <w:textDirection w:val="lrTb"/>
            <w:noWrap w:val="false"/>
          </w:tcPr>
          <w:p>
            <w:pPr>
              <w:jc w:val="center"/>
              <w:keepLines w:val="0"/>
              <w:keepNext w:val="0"/>
              <w:widowControl/>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总价</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（含税价）</w:t>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bl>
    <w:p>
      <w:pPr>
        <w:pStyle w:val="725"/>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p>
      <w:pPr>
        <w:rPr>
          <w:rFonts w:cs="宋体" w:asciiTheme="minorEastAsia" w:hAnsiTheme="minorEastAsia" w:eastAsiaTheme="minorEastAsia"/>
          <w:color w:val="000000" w:themeColor="text1"/>
          <w:highlight w:val="none"/>
          <w14:textFill>
            <w14:solidFill>
              <w14:schemeClr w14:val="tx1"/>
            </w14:solidFill>
          </w14:textFill>
        </w:rPr>
      </w:pPr>
      <w:r>
        <w:rPr>
          <w:rFonts w:cs="宋体" w:asciiTheme="minorEastAsia" w:hAnsiTheme="minorEastAsia" w:eastAsiaTheme="minorEastAsia"/>
          <w:color w:val="000000" w:themeColor="text1"/>
          <w:highlight w:val="none"/>
          <w14:textFill>
            <w14:solidFill>
              <w14:schemeClr w14:val="tx1"/>
            </w14:solidFill>
          </w14:textFill>
        </w:rPr>
      </w:r>
      <w:r/>
    </w:p>
    <w:p>
      <w:pP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br w:type="page" w:clear="all"/>
      </w:r>
      <w:r/>
    </w:p>
    <w:p>
      <w:pPr>
        <w:pStyle w:val="787"/>
        <w:keepLines w:val="0"/>
        <w:keepNext w:val="0"/>
        <w:pageBreakBefore w:val="0"/>
        <w:spacing w:line="240" w:lineRule="auto"/>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分项报价表（3）：关于莫愁湖布展服务类项目的采购清单</w:t>
      </w:r>
      <w:r/>
    </w:p>
    <w:p>
      <w:pPr>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r>
      <w:r/>
    </w:p>
    <w:tbl>
      <w:tblPr>
        <w:tblStyle w:val="733"/>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7"/>
        <w:gridCol w:w="1053"/>
        <w:gridCol w:w="9173"/>
        <w:gridCol w:w="562"/>
        <w:gridCol w:w="646"/>
        <w:gridCol w:w="904"/>
        <w:gridCol w:w="978"/>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合价（元）</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w:t>
            </w:r>
            <w:r>
              <w:rPr>
                <w:rStyle w:val="1316"/>
                <w:color w:val="000000" w:themeColor="text1"/>
                <w:highlight w:val="none"/>
                <w:lang w:val="en-US" w:eastAsia="zh-CN" w:bidi="ar"/>
                <w14:textFill>
                  <w14:solidFill>
                    <w14:schemeClr w14:val="tx1"/>
                  </w14:solidFill>
                </w14:textFill>
              </w:rPr>
              <w:t xml:space="preserve">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1、原有</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w:t>
            </w:r>
            <w:r>
              <w:rPr>
                <w:rStyle w:val="1316"/>
                <w:color w:val="000000" w:themeColor="text1"/>
                <w:highlight w:val="none"/>
                <w:lang w:val="en-US" w:eastAsia="zh-CN" w:bidi="ar"/>
                <w14:textFill>
                  <w14:solidFill>
                    <w14:schemeClr w14:val="tx1"/>
                  </w14:solidFill>
                </w14:textFill>
              </w:rPr>
              <w:t xml:space="preserve">拆除、装裱画拆除清理、旧管线拆除、成品保护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原有落地展柜拆除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华严庵西间落地展柜拆除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w:t>
            </w:r>
            <w:r>
              <w:rPr>
                <w:rStyle w:val="1316"/>
                <w:color w:val="000000" w:themeColor="text1"/>
                <w:highlight w:val="none"/>
                <w:lang w:val="en-US" w:eastAsia="zh-CN" w:bidi="ar"/>
                <w14:textFill>
                  <w14:solidFill>
                    <w14:schemeClr w14:val="tx1"/>
                  </w14:solidFill>
                </w14:textFill>
              </w:rPr>
              <w:t xml:space="preserve">展示柜拆除、展柜设备保护性拆除并交由业主指定地点存放、旧管线拆除、成品保护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215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新做展板展示面</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华严庵西间新做</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展板展示面</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1、基层12mm阻燃板；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2、单层9.5mm石膏板面</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3、板面钉眼封点防锈漆</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4、石膏板面缝贴自粘胶带</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5、石膏板面腻子3遍</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6、白色乳胶漆3遍</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7、具体详见图纸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定制造型卷轴</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华严庵西间定制造型卷轴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两侧竖向定制造型卷轴安装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华严庵西间设备包边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展示面拆除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原有展示面</w:t>
            </w:r>
            <w:r>
              <w:rPr>
                <w:rStyle w:val="1316"/>
                <w:color w:val="000000" w:themeColor="text1"/>
                <w:highlight w:val="none"/>
                <w:lang w:val="en-US" w:eastAsia="zh-CN" w:bidi="ar"/>
                <w14:textFill>
                  <w14:solidFill>
                    <w14:schemeClr w14:val="tx1"/>
                  </w14:solidFill>
                </w14:textFill>
              </w:rPr>
              <w:t xml:space="preserve">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原有展示面</w:t>
            </w:r>
            <w:r>
              <w:rPr>
                <w:rStyle w:val="1316"/>
                <w:color w:val="000000" w:themeColor="text1"/>
                <w:highlight w:val="none"/>
                <w:lang w:val="en-US" w:eastAsia="zh-CN" w:bidi="ar"/>
                <w14:textFill>
                  <w14:solidFill>
                    <w14:schemeClr w14:val="tx1"/>
                  </w14:solidFill>
                </w14:textFill>
              </w:rPr>
              <w:t xml:space="preserve">、装裱画拆除清理、旧管线拆除、成品保护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33"/>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原有落地展柜拆除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华严庵东间右侧落地展柜拆除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w:t>
            </w:r>
            <w:r>
              <w:rPr>
                <w:rStyle w:val="1316"/>
                <w:color w:val="000000" w:themeColor="text1"/>
                <w:highlight w:val="none"/>
                <w:lang w:val="en-US" w:eastAsia="zh-CN" w:bidi="ar"/>
                <w14:textFill>
                  <w14:solidFill>
                    <w14:schemeClr w14:val="tx1"/>
                  </w14:solidFill>
                </w14:textFill>
              </w:rPr>
              <w:t xml:space="preserve">展示柜拆除、展柜内文献整理收集并交由业主指定地点存放、旧管线拆除、成品保护</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定制玻璃柜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华严庵东间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定制玻璃柜</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1、钢架骨架</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2、基层15mm阻燃板；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3、玻璃柜内部仿石纹路装饰面层</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4、正面定制8mm玻璃3600mm*1900mm钢化超白玻，四周厚度1.2mm古铜不锈钢包边；</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5、柜内顶部开槽引线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6、柜内部预留字画底托</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7、面层：免漆板颜色后期深化</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8、具体详见图纸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1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原有沙盘柜拆除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胜棋楼1L沙盘柜拆除4500mm*2900mm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1、沙盘柜破坏性拆除、展柜设备保护性拆除、旧管线拆除、成品保护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3、具体详见图纸PM-01</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新做地柜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胜棋楼1L铝板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地柜</w:t>
            </w:r>
            <w:r>
              <w:rPr>
                <w:rStyle w:val="1316"/>
                <w:color w:val="000000" w:themeColor="text1"/>
                <w:highlight w:val="none"/>
                <w:lang w:val="en-US" w:eastAsia="zh-CN" w:bidi="ar"/>
                <w14:textFill>
                  <w14:solidFill>
                    <w14:schemeClr w14:val="tx1"/>
                  </w14:solidFill>
                </w14:textFill>
              </w:rPr>
              <w:t xml:space="preserve">H200mm</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 </w:t>
            </w:r>
            <w:r>
              <w:rPr>
                <w:rStyle w:val="1317"/>
                <w:rFonts w:eastAsia="宋体"/>
                <w:color w:val="000000" w:themeColor="text1"/>
                <w:highlight w:val="none"/>
                <w:lang w:val="en-US" w:eastAsia="zh-CN" w:bidi="ar"/>
                <w14:textFill>
                  <w14:solidFill>
                    <w14:schemeClr w14:val="tx1"/>
                  </w14:solidFill>
                </w14:textFill>
              </w:rPr>
              <w:t xml:space="preserve">‌</w:t>
            </w:r>
            <w:r>
              <w:rPr>
                <w:rStyle w:val="1316"/>
                <w:color w:val="000000" w:themeColor="text1"/>
                <w:highlight w:val="none"/>
                <w:lang w:val="en-US" w:eastAsia="zh-CN" w:bidi="ar"/>
                <w14:textFill>
                  <w14:solidFill>
                    <w14:schemeClr w14:val="tx1"/>
                  </w14:solidFill>
                </w14:textFill>
              </w:rPr>
              <w:t xml:space="preserve">40×40×2.0mm镀锌方管骨架制作安装</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2、深灰色2.0mm厚铝板包覆</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3、具体做法详见大样图01</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200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弧形造型展示面</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胜棋楼1L弧形展示面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1、后侧：钢骨架焊接，面15mm木工板基层钉在龙骨上，9mm奥松板面钉在木龙骨或夹板上 ，做油漆，执行国标或行业标准；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2、左右两侧弧形造型：钢骨架焊接，15mm木工板基层钉在龙骨上，9mm奥松板面钉在木龙骨或夹板上 ，做油漆，执行国标或行业标准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3、工程量按后侧投影面积计算，不扣减暗门亦不增加侧边面积，综合考虑报价</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4、具体做法详见大样图01</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664"/>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定制成品沙盘柜体门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胜棋楼1L定制成品沙盘柜体门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定制成品沙盘柜体门2000mm*800mm</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41"/>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钢化玻璃围挡</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胜棋楼1L钢化玻璃围挡高600mm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不锈钢玻璃栏板围挡含支座固定</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胜棋楼1L定制画轴造型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原有玻璃柜拆除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胜棋楼1L玻璃柜拆除7575mm*1090mm*2700mm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1、玻璃柜破坏性拆除、展柜内展品保护性收集统一存放至指定地点、旧管线拆除、成品保护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80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造型展示柜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1、中间造型：1500mm*2800mm：新建75轻钢龙骨，竖向间距400,基层12mm阻燃板，单层9.5mm、石膏板面，板面钉眼封点防锈漆，面板缝贴自粘胶带，批腻子3遍，整体打磨，刷基膜，预留灯槽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2、两侧：面贴广告布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3、上部：宽150mm乳胶漆凸墙：基层12mm阻燃板，单层9.5mm、石膏板面，板面钉眼封点防锈漆，板缝贴自粘胶带，板面白色乳胶漆3遍，预留灯槽；750mm宽面</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1、钢架骨架</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2、基层15mm阻燃板；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3、正面定制8mm钢化超白玻璃，四周厚度1.2mm古铜不锈钢包边；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4、柜内顶部开槽引线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5、柜内部预留字画底托</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6、面层：18mm免漆板颜色后期深化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7、具体详见图纸</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造型展示面</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胜棋楼1L东间造型展示面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1上部造型：基层12mm阻燃板，单层9.5mm、石膏板面，板面钉眼封点防锈漆，面板缝贴自粘胶带，批腻子3遍，整体打磨，刷基膜，面贴广告布，侧边304黑钛拉丝不锈钢边框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背侧定制支架造型</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胜棋楼1L东间定制支架造型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多媒体造型制作安装</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79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造型设备柜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胜棋楼1L西间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1、造型：2100mm*2800mm：新建75轻钢龙骨，竖向间距400,基层12mm阻燃板，单层9.5mm、石膏板面，板面钉眼封点防锈漆，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2、乳胶漆造型：新建75轻钢龙骨，竖向间距400,基层12mm阻燃板，单层9.5mm、石膏板面，板面钉眼封点防锈漆，面板缝贴自粘胶带，面白色乳胶漆3遍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3、设备底盒制作：基层12mm阻燃板，侧边304黑钛拉丝不锈钢边框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胜棋楼1L西间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玻璃展柜</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1、钢架骨架</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2、基层15mm阻燃板；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3、正面定制8mm钢化超白玻璃，四周厚度1.2mm古铜不锈钢包边；</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4、柜内顶部开槽引线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5、柜内部预留字画底托</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6、面层：18mm免漆板颜色后期深化</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围挡及地台拆除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胜棋楼2L原有围挡及地台拆除4440mm*2250mm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1、两侧柜子围挡拆除、展柜设备保护性拆除、旧管线拆除、成品保护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新做展示面</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316"/>
                <w:color w:val="000000" w:themeColor="text1"/>
                <w:highlight w:val="none"/>
                <w:lang w:val="en-US" w:eastAsia="zh-CN" w:bidi="ar"/>
                <w14:textFill>
                  <w14:solidFill>
                    <w14:schemeClr w14:val="tx1"/>
                  </w14:solidFill>
                </w14:textFill>
              </w:rPr>
              <w:t xml:space="preserve">胜棋楼2L棋盘对弈处</w:t>
            </w:r>
            <w:r>
              <w:rPr>
                <w:rStyle w:val="1316"/>
                <w:color w:val="000000" w:themeColor="text1"/>
                <w:highlight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厚度150mm</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1、龙骨撑出造型</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2、基层12mm阻燃板</w:t>
            </w:r>
            <w:r>
              <w:rPr>
                <w:rStyle w:val="1316"/>
                <w:color w:val="000000" w:themeColor="text1"/>
                <w:highlight w:val="none"/>
                <w:lang w:val="en-US" w:eastAsia="zh-CN" w:bidi="ar"/>
                <w14:textFill>
                  <w14:solidFill>
                    <w14:schemeClr w14:val="tx1"/>
                  </w14:solidFill>
                </w14:textFill>
              </w:rPr>
              <w:br/>
            </w:r>
            <w:r>
              <w:rPr>
                <w:rStyle w:val="1316"/>
                <w:color w:val="000000" w:themeColor="text1"/>
                <w:highlight w:val="none"/>
                <w:lang w:val="en-US" w:eastAsia="zh-CN" w:bidi="ar"/>
                <w14:textFill>
                  <w14:solidFill>
                    <w14:schemeClr w14:val="tx1"/>
                  </w14:solidFill>
                </w14:textFill>
              </w:rPr>
              <w:t xml:space="preserve">3、18mm免漆板</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8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胜棋楼2L棋盘对弈处</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7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铝板围挡</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胜棋楼2L棋盘对弈处</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1、上下30×40×1.5mm 镀锌管，中间40×40×2.0mm镀锌方管骨架制作安装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2、包覆深灰色厚度2mm铝板造型围挡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3、围挡高1000mm</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1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柜子拆除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郁金堂地柜拆除3600mm*500mm*1000mm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设备包边</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1、基层12mm阻燃板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2、304不锈钢黑钛拉丝边框厚度1.2mm</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23"/>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定制画轴造型</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郁金堂定制画轴造型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1、外框尺寸：宽650mm*长2100mm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2、内置骨架，12mm阻燃板基层，304黑钛拉丝不锈钢包覆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3、定制画轴造型：预留多媒体设备底盒</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0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柜子拆除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苏合厢地柜拆除5100mm*500mm*1000mm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1、木质地柜拆除、展柜设备保护性拆除、字画收集统一存放至指定保管处、旧管线拆除、成品保护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展示隔断拆除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苏合厢格栅拆除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1、木质地柜拆除、展柜设备保护性拆除、字画收集统一存放至指定保管处、旧管线拆除、成品保护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造景拆除</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苏合厢花坛造景长3580mm拆除</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1、混凝土花坛拆除、花坛假树、花坛土、花坛造景石清理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2、拆除垃圾清理、装袋、集中处理外运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定制吧台</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苏合厢定制L型吧台宽500mm*高1000mm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1、L型吧台侧面：钢龙骨骨架、阻燃基层板、木纹饰面，正面（内凹造型），定制活动板门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2、台面：80mm高木纹台面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3、吧台广告字体及展板另计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4、具体做法详见大样图03</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6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定制矮柜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苏合厢定制矮柜长800*宽600mm*高800mm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1、定制实木矮柜</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2、样式及做法详见大样图04</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3、样式及颜色与展项融合具体以甲方使用要求为准</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02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苏合厢定制展柜长2200*宽500mm*高2650mm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1、柜体板18mm免漆板，内置层板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2、上部做亚克力灯箱，灯箱另算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3、具体做法详见大样图05</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02"/>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苏合厢定制展柜长2800*宽500mm*高2650mm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1、柜体板18mm免漆板，内置层板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2、上部做亚克力灯箱，灯箱另算</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3、具体做法详见大样图06</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成品桌椅</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1、成品长桌长2400mm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2、配套椅子4把</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展品复刻</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华严庵</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1、展品复刻：《莫愁湖志》善本复制件、清代舆图、民国老照片。</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2、展现形式：华严庵建筑功能流变以图文+老照片呈现</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3、复刻图文展品以装入定制的亚克力盒挂面展示及画框装裱挂面展示</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花木铭牌及导引牌</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庭院花木及导引牌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1、花木铭牌：古树名木创意牌制作安装，材质为不锈钢材质，吊挂形式展示。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2、指引导流牌：指引参观流线牌制作安装，材质为铝合金材质，落地形式展示。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3、铭牌及引导牌数量约30个</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图文展板</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图文展板更换（内容+展板）</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定制广告布</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定制UV广告布画面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面积按照投影面积计算，不扣除设备及门洞所占面积亦不增加凸出侧边面积</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文物复刻、复用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1、展示品复刻（展示出土文物的展示品复刻展示）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2、文物复用：符合展陈需求的展品和文物进行复用展示</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3、文物展示底座及介绍牌制</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487"/>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定制展柜内部广告布</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胜棋楼1楼西间展示面为了展示莫愁湖历史变迁的布置效果，需要定制UV展柜内部广告布，具体工艺如下：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1、面层白色乳胶漆出新3遍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2、具体详见拆除图</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3、面积按照投影面积计算，不扣除设备及门洞所占面积亦不增加凸出侧边面积，</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26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定制展柜内部广告布</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胜棋楼1楼东间展面为了展示莫愁湖近代变化的布置效果，需要定制UV定制展柜内部广告布，具体工艺如下：</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定制UV定制展柜内部广告布</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面积按照投影面积计算，不扣除设备及门洞所占面积亦不增加凸面侧边面积</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168"/>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展品及文物复用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胜棋楼1楼东间及二楼万岁棋局</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1、展品及文物复用：金钗、明朝挂镜、郁金香等展品</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2、书籍文献托板、底盒、介绍牌</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3、更换万岁棋局朱元璋坐像头像</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苏合厢广告布置</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苏合厢苏合厢广告布置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1、吧台及展柜定制图文展板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2、门头莫愁主题邮局发光字及标识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3、落地图文展板打卡展示装置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4、邮局邮筒布置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5、字体不限于亚克力字体、PVC字体</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6、室内展示区定制顶部垂挂纱幔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7、定制亚克力灯箱</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97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1、综合布线（配管DN20KBG管、照明配线ZR-BV2.5mm2、插座配线ZR-BV4mm、点位管线、接线盒、面板、开关、插座）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2、仅对现场原有电箱进行改造并新增回路</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落地柜机空调</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 匹立式落地柜机；冷暖型，一级能效；含室内外机、遥控器、配套铜管、排水管、保温、电源线、支架；设备安装、调试、开机检测，含基础辅材</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展柜内部筒灯</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功率：12W</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色温：4000K</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显色指数：Ra90以上</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灯罩材质：铝合金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灯带</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展柜内部灯带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铝合金线条灯带</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前端节点控制器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前端运行状态信息采集、开关机指令中转、计算机电源控制。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通讯接口：RJ45网络接口、RS-232，点对点对接华严庵、胜棋楼F1、胜棋楼西间、胜棋楼东间、胜棋楼F2、鸳鸯厅</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节点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显示端指令控制器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投影机运行状态信息采集、开关机指令中转、电源控制。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通讯接口：RJ45网络接口、RS-232，点对点对接华严庵、胜棋楼F1、胜棋楼西间、胜棋楼东间、胜棋楼F2、鸳鸯厅</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节点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短波定位雷达</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雷达频段24.125GHz FMCW 调频连续波探测区域水平视角 120°，俯仰 60°最大探测距离0.3m ~ 8m定位精度近距离 0.3–4m：±3cm；4–8m：±5%同时追踪目标最多 6 人（可配置 2/4/6 人）坐标输出XY 平面坐标（单位：mm），支持 UART 串口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 UDP 网口刷新率30Hz（可调 10~30Hz）响应延迟≤80ms供电DC12V / 1A功耗≤6W延时保持1~10s 软件可调（人离开后坐标保留时间）灵敏度0~10 级软件可调，过滤微小晃动过滤支持静态背景滤除、小物体过滤（可设置最小目标面积）工作温度-20℃ ~ +60℃防护等级IP54（室内展厅）通讯协议UDP（推荐，直接发 JSON 坐标）/ RS485 串口输出数据示例 UDP`{"num":1,"target":[{"id":1,"x":1250,"y":2600,"valid":1}]}`</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LED图像控制器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1、采用标准 19 英寸金属结构机箱，机箱为后挂耳结构，上盖无螺钉安装:外壳防护等级符合GBIT 4280-2017中IP20的要求;采用纯硬件 FPGA 架构设计、运行稳定、可靠、高效。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2、输入接口至少包括1路HDMI2.0+LOOP,2路HDMI1.3，1路USB3.0，最大可支持4096*2160@60HZ信号输入，支持选配1路3G-SDI（IN+LOOP）。</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3、视频输出支持不少于8路千兆网口输出，1路10G-OPT光口，最大带载可达520万像素，最宽支持10240,最高8192。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4、音频输入支持视频口伴随音频输入及独立输入两种模式，音频输出支持网口扩展输出及3.5mm独立音频口输出；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5、支持输入源备份功能，主源丢失下，无需人为操作可自动切换至备源显示，切换过程无黑屏；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6、可支持144HZ高帧率输入输出，输出支持插帧、抽帧、倍频（2倍频、3倍频、4倍频）功能，可将30HZ信号，倍频至120HZ输出；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7、图层能力：最大可支持不少于6个2K图层或1个4K图层+2个2K图层，全部图层大小和位置可单独调节。4K接口输入2K信号，按2K图层计算图层资源；</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支持U盘即插即播功能，最大支持4K级（3840*2160@60fps）图片和视频的流畅播放，播放列表计切换效果支持自定义编排，最多支持20余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10、标配全彩液晶，搭配实体按键，极大的方便了设备整体状态的监控及设备功能的控制:设备功能按键及丝印信息采用全中文提示，项目上无需粘贴额外的标签纸加以区分，清晰直观;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11、支持2种用户模式，标准模式和专业模式，满足不同角色对显示屏的分权管理，使用更加放心；</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12、支持微信小程序快捷控制，包括亮度调节、输出画质调节、待机模式、画面冻结、场景切换、U盘播放等功能；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13、支持平板对控制器进行快捷控制，包括亮度调节、图层布局调节、画面冻结、黑屏、场景切换、音量大小、OSD开关等功能；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14、支持创建多个设备还原点，将当前设备的配屏，场景，输出等参数存储为还原点，当系统工作异常时，可根据还原点一键快速还原；</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15、支持控制设备白名单，可通过MAC地址限制控制设备，非白名单内设备无法控制设备，不允许对设备进行操作；</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16、MTBF≥150000小时，MTTR平均修复小于10分钟可用度大于 99%，整机寿命不小于150000小时。产品稳定性高、性能卓越、纯硬件结构，上电即可正常工作，无需做任何其它设置。</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17、设备控制支持BS架构，可兼容多种操作系统包括但不限于：Windows、MAC OS、深度 Linux、银河麒麟、统信 UOS中标麒麟(NeoKylin)、优麒麟(UbuntuKylin)、凝思磐石、红旗 Linux 等;</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全展区灯光集控电柜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12路灯光分区域集中控制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PLC控制器串口智能接入</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上位通讯接口：RJ45网络接口、RS-232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含定制电箱</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全馆无线网络覆盖人员</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网络标准：IEEE 802.11n、IEEE 802.11g、IEEE 802.11b、IEEE 802.3、IEEE 802.3u；</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数据传输：300Mbps；线管网络布线及安装调试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胜棋楼一楼 18.76*13.3  250㎡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胜棋楼二楼 18.76*11.4  214㎡</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华严庵 10.7*3.9  42㎡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郁金堂 10.5*12.67  133㎡</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苏合厢 11.3*5.1  58㎡</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过道300㎡</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1.芯线：4对8芯实心无氧铜，线规24AWG，导体直径≈0.5mm</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2.线对颜色：白橙、橙；白绿、绿；白蓝、蓝；白棕、棕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3.绝缘：高密度聚乙烯HDPE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4.外护套：PVC / LSZH低烟无卤；线缆外径约5mm</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5.包装标准：305米/箱（1000英尺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6.带宽 100MHz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7.最大速率 100米内稳定 1000Mbps（千兆）；不支持万兆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8.标准链路长度 ≤100米（信道）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9.特性阻抗 100Ω ±15Ω（1~100MHz）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10.直流电阻（20℃） ≤9.38Ω /100m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11.时延差（Delay Skew） ≤45ns /100m </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12.支持POE IEEE802.3af/at 标准POE供电 </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以太网交换机</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themeColor="text1"/>
                <w:sz w:val="18"/>
                <w:szCs w:val="18"/>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1.★交换容量≥672Gbps，包转发率≥171Mpps，（提供 CMA 认证的第三方机构检测报告并加盖投标人公章）</w:t>
            </w:r>
            <w:r/>
          </w:p>
          <w:p>
            <w:pPr>
              <w:numPr>
                <w:ilvl w:val="0"/>
                <w:numId w:val="0"/>
              </w:numPr>
              <w:jc w:val="left"/>
              <w:keepLines w:val="0"/>
              <w:keepNext w:val="0"/>
              <w:widowControl/>
              <w:rPr>
                <w:rFonts w:hint="eastAsia" w:ascii="宋体" w:hAnsi="宋体" w:eastAsia="宋体" w:cs="宋体"/>
                <w:i w:val="0"/>
                <w:iCs w:val="0"/>
                <w:color w:val="000000" w:themeColor="text1"/>
                <w:sz w:val="18"/>
                <w:szCs w:val="18"/>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2.★提供≥24 个 10/100/1000BASE-T PoE+自适应以太网端口，≥4 个 1000BASE-X SFP 端口；（提供 CMA 认证的第三方机构检测报告并加盖投标人公章）</w:t>
            </w:r>
            <w:r/>
          </w:p>
          <w:p>
            <w:pPr>
              <w:numPr>
                <w:ilvl w:val="0"/>
                <w:numId w:val="0"/>
              </w:numPr>
              <w:jc w:val="left"/>
              <w:keepLines w:val="0"/>
              <w:keepNext w:val="0"/>
              <w:widowControl/>
              <w:rPr>
                <w:rFonts w:hint="eastAsia" w:ascii="宋体" w:hAnsi="宋体" w:eastAsia="宋体" w:cs="宋体"/>
                <w:i w:val="0"/>
                <w:iCs w:val="0"/>
                <w:color w:val="000000" w:themeColor="text1"/>
                <w:sz w:val="18"/>
                <w:szCs w:val="18"/>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3.支持 IPv4/IPv6 静态路由，支持 RIP/RIPng，OSPF v2/v3；</w:t>
            </w:r>
            <w:r/>
          </w:p>
          <w:p>
            <w:pPr>
              <w:numPr>
                <w:ilvl w:val="0"/>
                <w:numId w:val="0"/>
              </w:numPr>
              <w:jc w:val="left"/>
              <w:keepLines w:val="0"/>
              <w:keepNext w:val="0"/>
              <w:widowControl/>
              <w:rPr>
                <w:rFonts w:hint="eastAsia" w:ascii="宋体" w:hAnsi="宋体" w:eastAsia="宋体" w:cs="宋体"/>
                <w:i w:val="0"/>
                <w:iCs w:val="0"/>
                <w:color w:val="000000" w:themeColor="text1"/>
                <w:sz w:val="18"/>
                <w:szCs w:val="18"/>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4.支持端口隔离、端口安全，支持 802.1X；</w:t>
            </w:r>
            <w:r/>
          </w:p>
          <w:p>
            <w:pPr>
              <w:numPr>
                <w:ilvl w:val="0"/>
                <w:numId w:val="0"/>
              </w:numPr>
              <w:jc w:val="left"/>
              <w:keepLines w:val="0"/>
              <w:keepNext w:val="0"/>
              <w:widowControl/>
              <w:rPr>
                <w:rFonts w:hint="eastAsia" w:ascii="宋体" w:hAnsi="宋体" w:eastAsia="宋体" w:cs="宋体"/>
                <w:i w:val="0"/>
                <w:iCs w:val="0"/>
                <w:color w:val="000000" w:themeColor="text1"/>
                <w:sz w:val="18"/>
                <w:szCs w:val="18"/>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5.支持基于 IP 子网的 VLAN、基于协议的 VLAN、基于 MAC 的 VLAN；</w:t>
            </w:r>
            <w:r/>
          </w:p>
          <w:p>
            <w:pPr>
              <w:numPr>
                <w:ilvl w:val="0"/>
                <w:numId w:val="0"/>
              </w:numPr>
              <w:jc w:val="left"/>
              <w:keepLines w:val="0"/>
              <w:keepNext w:val="0"/>
              <w:widowControl/>
              <w:rPr>
                <w:rFonts w:hint="eastAsia" w:ascii="宋体" w:hAnsi="宋体" w:eastAsia="宋体" w:cs="宋体"/>
                <w:i w:val="0"/>
                <w:iCs w:val="0"/>
                <w:color w:val="000000" w:themeColor="text1"/>
                <w:sz w:val="18"/>
                <w:szCs w:val="18"/>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6.★支持九台设备堆叠，可实现集中管理；（提供 CMA 认证的第三方机构检测报告并加盖投标人公章）</w:t>
            </w:r>
            <w:r/>
          </w:p>
          <w:p>
            <w:pPr>
              <w:numPr>
                <w:ilvl w:val="0"/>
                <w:numId w:val="0"/>
              </w:numPr>
              <w:jc w:val="left"/>
              <w:keepLines w:val="0"/>
              <w:keepNext w:val="0"/>
              <w:widowControl/>
              <w:rPr>
                <w:rFonts w:hint="eastAsia" w:ascii="宋体" w:hAnsi="宋体" w:eastAsia="宋体" w:cs="宋体"/>
                <w:i w:val="0"/>
                <w:iCs w:val="0"/>
                <w:color w:val="000000" w:themeColor="text1"/>
                <w:sz w:val="18"/>
                <w:szCs w:val="18"/>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7.★支持流镜像、端口镜像、远程镜像，至少支持 4 个镜像组；（提供 CMA 认证的第三方机构检测报告并加盖投标人公章）</w:t>
            </w:r>
            <w:r/>
          </w:p>
          <w:p>
            <w:pPr>
              <w:numPr>
                <w:ilvl w:val="0"/>
                <w:numId w:val="0"/>
              </w:numPr>
              <w:jc w:val="left"/>
              <w:keepLines w:val="0"/>
              <w:keepNext w:val="0"/>
              <w:widowControl/>
              <w:rPr>
                <w:rFonts w:hint="eastAsia" w:ascii="宋体" w:hAnsi="宋体" w:eastAsia="宋体" w:cs="宋体"/>
                <w:i w:val="0"/>
                <w:iCs w:val="0"/>
                <w:color w:val="000000" w:themeColor="text1"/>
                <w:sz w:val="18"/>
                <w:szCs w:val="18"/>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8.支持 CPU 保护功能；</w:t>
            </w:r>
            <w:r/>
          </w:p>
          <w:p>
            <w:pPr>
              <w:numPr>
                <w:ilvl w:val="0"/>
                <w:numId w:val="0"/>
              </w:numPr>
              <w:jc w:val="left"/>
              <w:keepLines w:val="0"/>
              <w:keepNext w:val="0"/>
              <w:widowControl/>
              <w:rPr>
                <w:rFonts w:hint="eastAsia" w:ascii="宋体" w:hAnsi="宋体" w:eastAsia="宋体" w:cs="宋体"/>
                <w:i w:val="0"/>
                <w:iCs w:val="0"/>
                <w:color w:val="000000" w:themeColor="text1"/>
                <w:sz w:val="18"/>
                <w:szCs w:val="18"/>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9.支持零配置启动功能；</w:t>
            </w:r>
            <w:r/>
          </w:p>
          <w:p>
            <w:pPr>
              <w:numPr>
                <w:ilvl w:val="0"/>
                <w:numId w:val="0"/>
              </w:numPr>
              <w:jc w:val="left"/>
              <w:keepLines w:val="0"/>
              <w:keepNext w:val="0"/>
              <w:widowControl/>
              <w:rPr>
                <w:rFonts w:hint="eastAsia" w:ascii="宋体" w:hAnsi="宋体" w:eastAsia="宋体" w:cs="宋体"/>
                <w:i w:val="0"/>
                <w:iCs w:val="0"/>
                <w:color w:val="000000" w:themeColor="text1"/>
                <w:sz w:val="18"/>
                <w:szCs w:val="18"/>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10.支持 IP 分片和重组功能；</w:t>
            </w:r>
            <w:r/>
          </w:p>
          <w:p>
            <w:pPr>
              <w:numPr>
                <w:ilvl w:val="0"/>
                <w:numId w:val="0"/>
              </w:numPr>
              <w:jc w:val="left"/>
              <w:keepLines w:val="0"/>
              <w:keepNext w:val="0"/>
              <w:widowControl/>
              <w:rPr>
                <w:rFonts w:hint="eastAsia" w:ascii="宋体" w:hAnsi="宋体" w:eastAsia="宋体" w:cs="宋体"/>
                <w:i w:val="0"/>
                <w:iCs w:val="0"/>
                <w:color w:val="000000" w:themeColor="text1"/>
                <w:sz w:val="18"/>
                <w:szCs w:val="18"/>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11.支持 Secure boot 功能；</w:t>
            </w:r>
            <w:r/>
          </w:p>
          <w:p>
            <w:pPr>
              <w:numPr>
                <w:ilvl w:val="0"/>
                <w:numId w:val="0"/>
              </w:numPr>
              <w:jc w:val="left"/>
              <w:keepLines w:val="0"/>
              <w:keepNext w:val="0"/>
              <w:widowControl/>
              <w:rPr>
                <w:rFonts w:hint="eastAsia" w:ascii="宋体" w:hAnsi="宋体" w:eastAsia="宋体" w:cs="宋体"/>
                <w:i w:val="0"/>
                <w:iCs w:val="0"/>
                <w:color w:val="000000" w:themeColor="text1"/>
                <w:sz w:val="18"/>
                <w:szCs w:val="18"/>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12.能够限制用户向网络中发送 ARP 报文、DHCP 请求报文等数据包的速率</w:t>
            </w: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w:t>
            </w:r>
            <w:r/>
          </w:p>
          <w:p>
            <w:pPr>
              <w:numPr>
                <w:ilvl w:val="0"/>
                <w:numId w:val="0"/>
              </w:numPr>
              <w:jc w:val="left"/>
              <w:keepLines w:val="0"/>
              <w:keepNext w:val="0"/>
              <w:widowControl/>
              <w:rPr>
                <w:rFonts w:hint="eastAsia" w:ascii="宋体" w:hAnsi="宋体" w:eastAsia="宋体" w:cs="宋体"/>
                <w:i w:val="0"/>
                <w:iCs w:val="0"/>
                <w:color w:val="000000" w:themeColor="text1"/>
                <w:sz w:val="18"/>
                <w:szCs w:val="18"/>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13.支持 STP、RSTP、MSTP、PVST</w:t>
            </w: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w:t>
            </w:r>
            <w:r/>
          </w:p>
          <w:p>
            <w:pPr>
              <w:numPr>
                <w:ilvl w:val="0"/>
                <w:numId w:val="0"/>
              </w:num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lang w:val="en-US" w:eastAsia="zh-CN" w:bidi="ar-SA"/>
                <w14:textFill>
                  <w14:solidFill>
                    <w14:schemeClr w14:val="tx1"/>
                  </w14:solidFill>
                </w14:textFill>
              </w:rPr>
              <w:t xml:space="preserve">14.支持命令行接口（CLI）配置，支持通过 Console 口配置</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1、本次配置≥128个管理AP授权，最大支持管理常规AP数量≥512；</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2、接口类型：提供≥8个千兆GE端口，≥2个万兆SFP+端口，≥2个2.5GE端口，1个Console口，1个USB接口；配置≥2个电源模块，提供官网链接和截图证明；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3、转发性能：集中转发性能≥10Gbps；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为使得网络管理员实时感知网络状态，所投产品需要在网络发生异常时，可利用短信、微信、邮件等三种不同方式推送告警信息；</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5、满足标准IETF 5415 CAPWAP协议，AP和AC之间满足L2/L3层网络拓扑，为提高网络安全，AP与控制器之间能够满足DTLS对CAPWAP隧道进行加密处理，提供第三方权威机构测试报告证明；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6、无线漫游：支持AC内漫游，支持跨AC间漫游，支持跨VLAN的三层漫游；</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7、为了有效排查无线网络中存在的匿名攻击的隐患，所投产品需要具备仿冒终端检查的能力，并且识别仿冒终端所接入SSID、AP以及终端设备型号、终端操作系统等信息，要求提供第三方权威机构测试报告证明；</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AP</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1、整机采用双频4流设计，可工作在802.11a/b/g/n/ac/ac wave2/ax/be模式，提供官网截图证明；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2、整机协商速率≥3.57Gbps，5GHz频段最大可协商速率≥2.882Gbps，提供官网链接和截图证明；</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3、提供≥1个100/1000M/2.5G电口；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4、在自动功率调整基础上，支持检测信号覆盖黑洞功能，并对AP功率做出修正，保证处于特殊位置的终端接收到增强的AP信号，保证体验。要求提供工信部或下属实验室出具的第三方测试报告；</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5、采用内置智能天线设计</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支持WLAN上行链路检测功能，实时监测上行链路的可行性，当上行链路不可达时，将射频关闭，避免终端连接到不可用的网络。当上行链路恢复时，射频自动开启，无线终端可以正常接入。要求提供工信部或下属实验室出具的第三方测试报告</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48"/>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控制服务器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i5-7700/8G DDR/256G SSD 固态/4G 独显；</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液晶显示器</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21.5"液晶显示器</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分辨率：1920×1080，60Hz</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亮度：250cd/㎡</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配套原装键鼠</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移动控制终端</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平板电脑</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屏幕尺寸：11英寸；</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屏幕比例：16:10；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存储容量:128GB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分辨率：1920*1200</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雷达控制系统</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雷达 TX → USB 转模块 RX</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雷达 RX → USB 转模块 TX</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雷达 GND ↔ USB 模块 GND</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雷达接 DC12V 供电，USB 插电脑 USB 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网线直连雷达与电脑，电脑 IP 改为同网段</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打开厂家上位机，切换通讯模式为 UDP，填写雷达 IP、端口号</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点击连接，直接接收 JSON 格式 XY 坐标，**不用串口驱动**</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 同样可以在上位机修改雷达参数并保存</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全馆总控程序集</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（服务器端）</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图形化操作界面</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独立多媒体展项状态综合控制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智能分区语音切换控制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灯光独立控制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投影机开/关控制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计算机开/关控制（不含中控主机）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设备运行状态指示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与移动终端实时闭环通讯</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全馆总控程序集</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（移动终端）</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图形化操作界面</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独立多媒体展项状态综合控制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智能分区语音切换控制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灯光独立控制</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计算机开/关控制（不含中控主机）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设备运行状态指示</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与中控计算机实时闭环通讯</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硅箱机柜</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规格：600×600×1200mm</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318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设备安装，系统调试及控制软件部署（人员）</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现场管线敷设、线缆穿线；双绞线端接、水晶头压制、链路福禄克测试；机柜、服务器、网络设备、多媒体展项设备上架安装；全馆总控服务器端与移动终端控制软件部署、参数配置、权限设置；网络调试、多媒体展项单体调试、全馆系统联调；点位标签制作、现场技术交底、试运行值守、竣工测试及调试文档编制，含项目实施全套技术人员人工。</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网络系统调试：网络工程师配置交换机 VLAN 划分、路由协议、ACL 访问控制、QoS 流量管理等，进行网络连通性测试、冗余备份测试及带宽压力测试。</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服务器系统调试：系统工程师安装操作系统，配置域环境、文件共享、数据库服务，进行系统补丁更新及安全加固，确保服务器稳定运行。</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应用系统部署调试：1 名应用工程师根据用户需求，安装部署业务软件，配置数据库连接、用户权限及参数设置，进行功能模块联调及压力测试，确保软件满足业务流程要求。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整体联调与优化：由项目技术负责人组织各专业工程师进行系统整体联调，模拟实际业务场景测试端到端功能，对网络延迟、系统响应速度等进行优化，输出调试报告</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莫愁湖仿古卷轴园林沙盘展品</w:t>
            </w:r>
            <w:r/>
          </w:p>
        </w:tc>
        <w:tc>
          <w:tcPr>
            <w:shd w:val="clear" w:color="auto" w:fill="auto"/>
            <w:tcBorders>
              <w:top w:val="single" w:color="000000" w:sz="4" w:space="0"/>
              <w:left w:val="single" w:color="000000" w:sz="4" w:space="0"/>
              <w:bottom w:val="single" w:color="000000" w:sz="4" w:space="0"/>
              <w:right w:val="single" w:color="000000" w:sz="4" w:space="0"/>
            </w:tcBorders>
            <w:tcW w:w="917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品定制仿古卷轴造型艺术沙盘展品，按 1:50 比例完整复刻南京莫愁湖核心建筑群，精细还原华严庵、胜棋楼、郁金堂、苏合厢建筑本体；配套湖面水景、林木绿植、假山置石、景观桥梁（桥宽 3.8m），搭载场景景观灯光系统，整体分层造景，还原莫愁湖园林空间格局；建筑细节、形制、布局严格按实景 1:50 缩比制作，打造沉浸式古典画卷展示效果。</w:t>
            </w:r>
            <w:r/>
          </w:p>
        </w:tc>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r>
        <w:trPr>
          <w:trHeight w:val="837"/>
        </w:trPr>
        <w:tc>
          <w:tcPr>
            <w:gridSpan w:val="6"/>
            <w:shd w:val="clear" w:color="auto" w:fill="auto"/>
            <w:tcBorders>
              <w:top w:val="single" w:color="000000" w:sz="4" w:space="0"/>
              <w:left w:val="single" w:color="000000" w:sz="4" w:space="0"/>
              <w:bottom w:val="single" w:color="000000" w:sz="4" w:space="0"/>
              <w:right w:val="single" w:color="000000" w:sz="4" w:space="0"/>
            </w:tcBorders>
            <w:tcW w:w="12805" w:type="dxa"/>
            <w:vAlign w:val="center"/>
            <w:textDirection w:val="lrTb"/>
            <w:noWrap w:val="false"/>
          </w:tcPr>
          <w:p>
            <w:pPr>
              <w:jc w:val="center"/>
              <w:keepLines w:val="0"/>
              <w:keepNext w:val="0"/>
              <w:widowControl/>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22"/>
                <w:szCs w:val="22"/>
                <w:highlight w:val="none"/>
                <w:u w:val="none"/>
                <w:lang w:val="en-US" w:eastAsia="zh-CN" w:bidi="ar"/>
                <w14:textFill>
                  <w14:solidFill>
                    <w14:schemeClr w14:val="tx1"/>
                  </w14:solidFill>
                </w14:textFill>
              </w:rPr>
              <w:t xml:space="preserve">总价</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（含税价）</w:t>
            </w:r>
            <w:r/>
          </w:p>
        </w:tc>
        <w:tc>
          <w:tcPr>
            <w:shd w:val="clear" w:color="auto" w:fill="auto"/>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r>
            <w:r/>
          </w:p>
        </w:tc>
      </w:tr>
    </w:tbl>
    <w:p>
      <w:pPr>
        <w:pStyle w:val="787"/>
        <w:rPr>
          <w:rFonts w:cs="宋体" w:asciiTheme="minorEastAsia" w:hAnsiTheme="minorEastAsia" w:eastAsiaTheme="minorEastAsia"/>
          <w:b/>
          <w:color w:val="000000" w:themeColor="text1"/>
          <w:szCs w:val="21"/>
          <w:highlight w:val="none"/>
          <w14:textFill>
            <w14:solidFill>
              <w14:schemeClr w14:val="tx1"/>
            </w14:solidFill>
          </w14:textFill>
        </w:rPr>
      </w:pPr>
      <w:r>
        <w:rPr>
          <w:rFonts w:cs="宋体" w:asciiTheme="minorEastAsia" w:hAnsiTheme="minorEastAsia" w:eastAsiaTheme="minorEastAsia"/>
          <w:b/>
          <w:color w:val="000000" w:themeColor="text1"/>
          <w:szCs w:val="21"/>
          <w:highlight w:val="none"/>
          <w14:textFill>
            <w14:solidFill>
              <w14:schemeClr w14:val="tx1"/>
            </w14:solidFill>
          </w14:textFill>
        </w:rPr>
      </w:r>
      <w:r/>
    </w:p>
    <w:p>
      <w:pP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br w:type="page" w:clear="all"/>
      </w:r>
      <w:r/>
    </w:p>
    <w:p>
      <w:pPr>
        <w:jc w:val="cente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r>
      <w:r/>
    </w:p>
    <w:p>
      <w:pPr>
        <w:jc w:val="cente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分项报价表（4）：关于莫愁湖多媒体影片服务采购的采购清单</w:t>
      </w:r>
      <w:r/>
    </w:p>
    <w:tbl>
      <w:tblPr>
        <w:tblStyle w:val="733"/>
        <w:tblW w:w="15275" w:type="dxa"/>
        <w:tblInd w:w="-3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0"/>
        <w:gridCol w:w="1112"/>
        <w:gridCol w:w="888"/>
        <w:gridCol w:w="1350"/>
        <w:gridCol w:w="7625"/>
        <w:gridCol w:w="812"/>
        <w:gridCol w:w="813"/>
        <w:gridCol w:w="875"/>
        <w:gridCol w:w="850"/>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展区</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18"/>
                <w:szCs w:val="18"/>
                <w:highlight w:val="none"/>
                <w:u w:val="none"/>
                <w:lang w:val="en-US"/>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软硬件类别/名称</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规格/功能</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cs="宋体"/>
                <w:b/>
                <w:bCs/>
                <w:i w:val="0"/>
                <w:iCs w:val="0"/>
                <w:color w:val="000000" w:themeColor="text1"/>
                <w:sz w:val="18"/>
                <w:szCs w:val="18"/>
                <w:highlight w:val="none"/>
                <w:u w:val="none"/>
                <w:lang w:val="en-US" w:eastAsia="zh-CN" w:bidi="ar"/>
                <w14:textFill>
                  <w14:solidFill>
                    <w14:schemeClr w14:val="tx1"/>
                  </w14:solidFill>
                </w14:textFill>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合价（元）</w:t>
            </w:r>
            <w:r/>
          </w:p>
        </w:tc>
      </w:tr>
      <w:tr>
        <w:trPr>
          <w:trHeight w:val="1060"/>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华严庵</w:t>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莫愁女导览莫愁湖</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40"/>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40"/>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non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数字人驱动：自研数字人平台；；语音合成：讯飞配音/剪映朗读；后期合成：剪映专业版、Premiere Pro、After Effects、DaVinci Resolve</w:t>
            </w:r>
            <w:r/>
          </w:p>
        </w:tc>
        <w:tc>
          <w:tcPr>
            <w:shd w:val="clear" w:color="auto" w:fill="auto"/>
            <w:tcBorders>
              <w:top w:val="single" w:color="000000" w:sz="4" w:space="0"/>
              <w:left w:val="single" w:color="000000" w:sz="4" w:space="0"/>
              <w:bottom w:val="non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古风数字人形象设计与建模；AI语音合成(TTS)与音色克隆；口型同步及表情、手势动作驱动；文生/图生视频生成春夏秋冬四季场景；4K渲染与四季多版本批量输出</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2260"/>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20"/>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75"/>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胜棋楼</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莫愁湖传说、风光、人文等介绍</w:t>
            </w:r>
            <w:r/>
          </w:p>
        </w:tc>
        <w:tc>
          <w:tcPr>
            <w:shd w:val="clear" w:color="auto" w:fill="auto"/>
            <w:tcBorders>
              <w:top w:val="single" w:color="000000" w:sz="4" w:space="0"/>
              <w:left w:val="single" w:color="000000" w:sz="4" w:space="0"/>
              <w:bottom w:val="non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史料考据与脚本分镜策划；8K超高清实拍与航拍；AI再现历史传说场景；素材AI修复与超分辨率增强至8K；旁白配音、配乐与字幕；非线性剪辑、调色与整体栏目包装</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莫愁湖湖水等园区景观动画（水、人、动物）</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湖水流体动力学与粒子特效模拟；植被与环境氛围制作；写实渲染；三维画面后期合成与镜头漫游运镜</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胜棋楼西间</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莫愁湖水文变迁视频（常规包装类剪辑视频/AI介绍视频）</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Tgent算力，3000Token</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胜棋楼东间</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莫愁女的传说和故事、事迹（图文版）</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莫愁相关的文物，在线文物检索平台（来源于官方可取证平台）</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互动查询</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莫愁女相关影片、影像资料等（视频剪辑包装）</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72"/>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万岁棋局AI复原</w:t>
            </w:r>
            <w:r/>
          </w:p>
        </w:tc>
        <w:tc>
          <w:tcPr>
            <w:shd w:val="clear" w:color="auto" w:fill="auto"/>
            <w:tcBorders>
              <w:top w:val="single" w:color="000000" w:sz="4" w:space="0"/>
              <w:left w:val="single" w:color="000000" w:sz="4" w:space="0"/>
              <w:bottom w:val="non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万岁棋谱AI复原</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non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AI扫描软件</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复古家具场景还原</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扫描胜棋楼二楼空间后还原明式厅堂家具摆放场景</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43"/>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郁金堂</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AI复活莫愁女的生活场景</w:t>
            </w:r>
            <w:r/>
          </w:p>
        </w:tc>
        <w:tc>
          <w:tcPr>
            <w:shd w:val="clear" w:color="auto" w:fill="auto"/>
            <w:tcBorders>
              <w:top w:val="single" w:color="000000" w:sz="4" w:space="0"/>
              <w:left w:val="single" w:color="000000" w:sz="4" w:space="0"/>
              <w:bottom w:val="non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硬件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频率响应：65Hz-16kHz(±3dB)</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持续功率处理：100W连续</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阻抗：8Ω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辐射角度：160º(锥形)</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05"/>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non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解码功放</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功放系统：解码功放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输出声道：2.0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输出功率：60W×1</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解码功能：杜比数码、DTS和杜比定向逻辑II解码器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295"/>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专业影片播放器</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85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依据古画、文献AI复原莫愁女形象并保持人物一致性；AI数字人表情与动作驱动(让历史人物“开口复活”)；文生/图生视频生成古代生活场景；历史场景数字复原与人物影像合成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98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92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Tgent算力，1200Token</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专业主持人配音</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30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仕女图活过来串屏（12 块屏幕）</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互动查询</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支持各类主流音视频格式解码；</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支持非标、超大分辨率；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针对公共展示系统的特殊应急容错处理功能；</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TCP/IP网络中控管理接口；</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TCP/IP网络数据库伺服接口；</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752"/>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策划</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古画数字化；AI图生视频让仕女“活起来”；跨12块屏的连贯运动轨迹设计与人物穿行衔接；整体超大画幅制作后按屏拆分、屏间像素对齐；多屏同步播控联调与循环播放</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10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后期合成</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合成成片分辨率： 8K 7680×4320，无拉伸、无裁切、无缩放</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色深：10bit/12bit，色域 BT.2020，HDR 高动态范围</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输出编码：ProRes4444 无损合成母版 + H.265 8K 高清播出版</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帧率：25/30/60fps 自适应匹配</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支持**8K 原生多轨道图层叠加，视频层、图片层、文字层、蒙版层、调色层、特效层、</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具备正片叠底、滤色、叠加、柔光、强光、差值、色相、饱和度、明度等**全套专业图层混合模式**。</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 所有合成运算支持 **10bit/12bit 色深、BT.2020 广色域、HDR 亮度映射，合成过程无色带、无断层、无噪点增益。</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800"/>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 分辨率：**8K 7680×4320**，画幅比例 16:9；</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 色深：≥10bit，支持 BT.2020 广色域，支持 HDR；</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 帧率：25fps（可根据甲方需求调整为 30fps/60fps）；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4. 编码：交付母版采用 ProRes 4444 编码，同时交付 H.265（HEVC）8K 成品 MP4，码率≥120Mbps；</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 音频：48kHz 采样率，24bit，立体声；</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 画面要求：画面稳定、无卡顿、无马赛克、无明显噪点，编辑点无跳帧、色彩无突变，信噪比≥55dB；成片无任何水印、第三方 LOGO。</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1078"/>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AI视频生成：三维建模动画：Maya、3ds Max、Blender、Cinema 4D；流体特效：Houdini、RealFlow；植被：SpeedTree；渲即梦AI/可灵KLING/RunwayChatGPT生成人物Model Tgent算力，3600Token</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Token</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495"/>
        </w:trPr>
        <w:tc>
          <w:tcPr>
            <w:shd w:val="clear" w:color="auto" w:fill="auto"/>
            <w:tcBorders>
              <w:top w:val="none" w:color="000000" w:sz="4" w:space="0"/>
              <w:left w:val="single" w:color="000000" w:sz="4" w:space="0"/>
              <w:bottom w:val="none" w:color="000000" w:sz="4" w:space="0"/>
              <w:right w:val="single" w:color="000000" w:sz="4" w:space="0"/>
            </w:tcBorders>
            <w:tcW w:w="950" w:type="dxa"/>
            <w:vAlign w:val="center"/>
            <w:vMerge w:val="continue"/>
            <w:textDirection w:val="lrTb"/>
            <w:noWrap w:val="false"/>
          </w:tcPr>
          <w:p>
            <w:pPr>
              <w:jc w:val="center"/>
              <w:rPr>
                <w:rFonts w:hint="eastAsia" w:ascii="宋体" w:hAnsi="宋体" w:eastAsia="宋体" w:cs="宋体"/>
                <w:b/>
                <w:bCs/>
                <w:i w:val="0"/>
                <w:iCs w:val="0"/>
                <w:color w:val="000000" w:themeColor="text1"/>
                <w:sz w:val="18"/>
                <w:szCs w:val="18"/>
                <w:highlight w:val="none"/>
                <w:u w:val="none"/>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i w:val="0"/>
                <w:iCs w:val="0"/>
                <w:color w:val="000000" w:themeColor="text1"/>
                <w:sz w:val="18"/>
                <w:szCs w:val="18"/>
                <w:highlight w:val="none"/>
                <w:u w:val="none"/>
                <w14:textFill>
                  <w14:solidFill>
                    <w14:schemeClr w14:val="tx1"/>
                  </w14:solidFill>
                </w14:textFill>
              </w:rPr>
            </w:pPr>
            <w:r>
              <w:rPr>
                <w:rFonts w:hint="eastAsia" w:ascii="宋体" w:hAnsi="宋体" w:eastAsia="宋体" w:cs="宋体"/>
                <w:i w:val="0"/>
                <w:iCs w:val="0"/>
                <w:color w:val="000000" w:themeColor="text1"/>
                <w:sz w:val="18"/>
                <w:szCs w:val="18"/>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配音</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配乐</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水院雕像</w:t>
            </w:r>
            <w:r/>
          </w:p>
        </w:tc>
        <w:tc>
          <w:tcPr>
            <w:shd w:val="clear" w:color="auto" w:fill="auto"/>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AI扫描软件</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软件</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水院莫愁女雕像活化</w:t>
            </w:r>
            <w:r/>
          </w:p>
        </w:tc>
        <w:tc>
          <w:tcPr>
            <w:shd w:val="clear" w:color="auto" w:fill="auto"/>
            <w:tcBorders>
              <w:top w:val="single" w:color="000000" w:sz="4" w:space="0"/>
              <w:left w:val="single" w:color="000000" w:sz="4" w:space="0"/>
              <w:bottom w:val="single" w:color="000000" w:sz="4" w:space="0"/>
              <w:right w:val="single" w:color="000000" w:sz="4" w:space="0"/>
            </w:tcBorders>
            <w:tcW w:w="762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扫描莫愁女石像后结合数字人IP技术实现莫愁女互动</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144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总价（含税价）</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r>
            <w:r/>
          </w:p>
        </w:tc>
      </w:tr>
    </w:tbl>
    <w:p>
      <w:pPr>
        <w:pStyle w:val="787"/>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ind w:right="1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right="180"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备注： </w:t>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1.“投标总报价”应包括为完成整个项目所产生的所有费用，招标文件另有规定的除外。</w:t>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2.《投标分项报价表》中“投标总价”应当与《开标一览表》中“投标总报价”一致。</w:t>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3.行数不够，可自行添加。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7"/>
        <w:ind w:firstLine="640"/>
        <w:rPr>
          <w:rFonts w:ascii="黑体" w:eastAsia="黑体"/>
          <w:color w:val="000000" w:themeColor="text1"/>
          <w:sz w:val="32"/>
          <w:szCs w:val="32"/>
          <w:highlight w:val="none"/>
          <w14:textFill>
            <w14:solidFill>
              <w14:schemeClr w14:val="tx1"/>
            </w14:solidFill>
          </w14:textFill>
        </w:rPr>
      </w:pPr>
      <w:r>
        <w:rPr>
          <w:rFonts w:ascii="黑体" w:eastAsia="黑体"/>
          <w:color w:val="000000" w:themeColor="text1"/>
          <w:sz w:val="32"/>
          <w:szCs w:val="32"/>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8"/>
          <w:highlight w:val="none"/>
          <w14:textFill>
            <w14:solidFill>
              <w14:schemeClr w14:val="tx1"/>
            </w14:solidFill>
          </w14:textFill>
        </w:rPr>
        <w:t xml:space="preserve">相关说明、证明材料（供应商自行提供）</w:t>
      </w:r>
      <w:r/>
    </w:p>
    <w:p>
      <w:pPr>
        <w:ind w:firstLine="480"/>
        <w:spacing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1.供应商拟投入本项目的服务人员中，依法享受社保、住房公积金等缴纳减免政策的说明材料。</w:t>
      </w:r>
      <w:r/>
    </w:p>
    <w:p>
      <w:pPr>
        <w:ind w:firstLine="480"/>
        <w:spacing w:line="47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2.供应商享受税费优惠政策的证明材料。</w:t>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pStyle w:val="724"/>
        <w:rPr>
          <w:rFonts w:hint="eastAsia"/>
          <w:color w:val="000000" w:themeColor="text1"/>
          <w:highlight w:val="none"/>
          <w14:textFill>
            <w14:solidFill>
              <w14:schemeClr w14:val="tx1"/>
            </w14:solidFill>
          </w14:textFill>
        </w:rPr>
        <w:sectPr>
          <w:footnotePr/>
          <w:endnotePr/>
          <w:type w:val="nextPage"/>
          <w:pgSz w:w="16838" w:h="11906" w:orient="landscape"/>
          <w:pgMar w:top="1080" w:right="1440" w:bottom="1080" w:left="1440" w:header="851" w:footer="907" w:gutter="0"/>
          <w:cols w:num="1" w:sep="0" w:space="0" w:equalWidth="1"/>
          <w:docGrid w:linePitch="360"/>
          <w:titlePg/>
        </w:sectPr>
      </w:pPr>
      <w:r/>
      <w:bookmarkStart w:id="253" w:name="_Toc58"/>
      <w:r/>
      <w:r/>
    </w:p>
    <w:p>
      <w:pPr>
        <w:pStyle w:val="724"/>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w:t>
      </w:r>
      <w:bookmarkEnd w:id="68"/>
      <w:r/>
      <w:bookmarkEnd w:id="69"/>
      <w:r/>
      <w:bookmarkEnd w:id="243"/>
      <w:r>
        <w:rPr>
          <w:rFonts w:hint="eastAsia"/>
          <w:color w:val="000000" w:themeColor="text1"/>
          <w:highlight w:val="none"/>
          <w14:textFill>
            <w14:solidFill>
              <w14:schemeClr w14:val="tx1"/>
            </w14:solidFill>
          </w14:textFill>
        </w:rPr>
        <w:t xml:space="preserve">技术要求响应及偏离表</w:t>
      </w:r>
      <w:bookmarkEnd w:id="253"/>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技术要求响应及偏离表</w:t>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92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4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925"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pStyle w:val="782"/>
        <w:jc w:val="both"/>
        <w:spacing w:before="0" w:beforeAutospacing="0" w:after="0" w:afterAutospacing="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right="180"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备注： </w:t>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1.供应商须对招标文件技术要求中的实质性要求（斜体下划线内容或打“★”内容）及其他要求做出明确响应，否则视为无效投标。</w:t>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2.行数不够，可自行添加。</w:t>
      </w:r>
      <w:r/>
    </w:p>
    <w:p>
      <w:pPr>
        <w:jc w:val="center"/>
        <w:rPr>
          <w:rFonts w:ascii="黑体" w:hAnsi="Arial" w:eastAsia="黑体"/>
          <w:b/>
          <w:color w:val="000000" w:themeColor="text1"/>
          <w:sz w:val="36"/>
          <w:szCs w:val="21"/>
          <w:highlight w:val="none"/>
          <w14:textFill>
            <w14:solidFill>
              <w14:schemeClr w14:val="tx1"/>
            </w14:solidFill>
          </w14:textFill>
        </w:rPr>
      </w:pPr>
      <w:r>
        <w:rPr>
          <w:rFonts w:ascii="黑体" w:hAnsi="Arial" w:eastAsia="黑体"/>
          <w:b/>
          <w:color w:val="000000" w:themeColor="text1"/>
          <w:sz w:val="36"/>
          <w:szCs w:val="21"/>
          <w:highlight w:val="none"/>
          <w14:textFill>
            <w14:solidFill>
              <w14:schemeClr w14:val="tx1"/>
            </w14:solidFill>
          </w14:textFill>
        </w:rPr>
      </w:r>
      <w:r/>
    </w:p>
    <w:p>
      <w:pPr>
        <w:rPr>
          <w:rFonts w:ascii="黑体" w:hAnsi="黑体" w:eastAsia="黑体"/>
          <w:iCs/>
          <w:color w:val="000000" w:themeColor="text1"/>
          <w:sz w:val="32"/>
          <w:szCs w:val="32"/>
          <w:highlight w:val="none"/>
          <w14:textFill>
            <w14:solidFill>
              <w14:schemeClr w14:val="tx1"/>
            </w14:solidFill>
          </w14:textFill>
        </w:rPr>
      </w:pPr>
      <w:r/>
      <w:bookmarkStart w:id="254" w:name="_Hlt26955054"/>
      <w:r/>
      <w:bookmarkEnd w:id="254"/>
      <w:r/>
      <w:r/>
    </w:p>
    <w:p>
      <w:pPr>
        <w:jc w:val="left"/>
        <w:widowControl/>
        <w:rPr>
          <w:rFonts w:ascii="黑体" w:hAnsi="黑体" w:eastAsia="黑体"/>
          <w:iCs/>
          <w:color w:val="000000" w:themeColor="text1"/>
          <w:sz w:val="32"/>
          <w:szCs w:val="32"/>
          <w:highlight w:val="none"/>
          <w14:textFill>
            <w14:solidFill>
              <w14:schemeClr w14:val="tx1"/>
            </w14:solidFill>
          </w14:textFill>
        </w:rPr>
      </w:pPr>
      <w:r>
        <w:rPr>
          <w:rFonts w:ascii="黑体" w:hAnsi="黑体" w:eastAsia="黑体"/>
          <w:iCs/>
          <w:color w:val="000000" w:themeColor="text1"/>
          <w:sz w:val="32"/>
          <w:szCs w:val="32"/>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55" w:name="_Toc2596"/>
      <w:r>
        <w:rPr>
          <w:rFonts w:hint="eastAsia"/>
          <w:color w:val="000000" w:themeColor="text1"/>
          <w:highlight w:val="none"/>
          <w14:textFill>
            <w14:solidFill>
              <w14:schemeClr w14:val="tx1"/>
            </w14:solidFill>
          </w14:textFill>
        </w:rPr>
        <w:t xml:space="preserve">八、商务要求响应及偏离表</w:t>
      </w:r>
      <w:bookmarkEnd w:id="255"/>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商务要求响应及偏离表</w:t>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bookmarkStart w:id="256" w:name="_Hlt24879081"/>
            <w:r/>
            <w:bookmarkEnd w:id="256"/>
            <w:r/>
            <w:bookmarkStart w:id="257" w:name="_Hlt26671343"/>
            <w:r/>
            <w:bookmarkEnd w:id="257"/>
            <w:r/>
            <w:bookmarkStart w:id="258" w:name="_Hlt26580838"/>
            <w:r/>
            <w:bookmarkEnd w:id="258"/>
            <w:r/>
            <w:bookmarkStart w:id="259" w:name="_Hlt26609391"/>
            <w:r/>
            <w:bookmarkEnd w:id="259"/>
            <w:r/>
            <w:bookmarkStart w:id="260" w:name="_Hlt26782999"/>
            <w:r/>
            <w:bookmarkEnd w:id="260"/>
            <w:r/>
            <w:bookmarkStart w:id="261" w:name="_Hlt26671372"/>
            <w:r/>
            <w:bookmarkEnd w:id="261"/>
            <w:r/>
            <w:bookmarkStart w:id="262" w:name="_Hlt26955056"/>
            <w:r/>
            <w:bookmarkEnd w:id="262"/>
            <w:r/>
            <w:bookmarkStart w:id="263" w:name="_Hlt26955064"/>
            <w:r/>
            <w:bookmarkEnd w:id="263"/>
            <w:r>
              <w:rPr>
                <w:rFonts w:hint="eastAsia" w:ascii="宋体" w:hAnsi="宋体"/>
                <w:color w:val="000000" w:themeColor="text1"/>
                <w:sz w:val="24"/>
                <w:szCs w:val="24"/>
                <w:highlight w:val="none"/>
                <w14:textFill>
                  <w14:solidFill>
                    <w14:schemeClr w14:val="tx1"/>
                  </w14:solidFill>
                </w14:textFill>
              </w:rPr>
              <w:t xml:space="preserve">序号</w:t>
            </w:r>
            <w:r/>
          </w:p>
        </w:tc>
        <w:tc>
          <w:tcPr>
            <w:tcW w:w="283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334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838"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8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832"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346"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pStyle w:val="782"/>
        <w:jc w:val="both"/>
        <w:spacing w:before="0" w:beforeAutospacing="0" w:after="0" w:afterAutospacing="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right="180"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供应商名称：（加盖电子公章）</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 </w:t>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1.供应商须对招标文件商务要求中的实质性要求（斜体下划线内容或打“</w:t>
      </w:r>
      <w:bookmarkStart w:id="264" w:name="OLE_LINK24"/>
      <w:r/>
      <w:bookmarkStart w:id="265" w:name="OLE_LINK25"/>
      <w:r>
        <w:rPr>
          <w:rFonts w:hint="eastAsia" w:ascii="宋体" w:hAnsi="宋体" w:eastAsia="宋体" w:cs="宋体"/>
          <w:color w:val="000000" w:themeColor="text1"/>
          <w:highlight w:val="none"/>
          <w14:textFill>
            <w14:solidFill>
              <w14:schemeClr w14:val="tx1"/>
            </w14:solidFill>
          </w14:textFill>
        </w:rPr>
        <w:t xml:space="preserve">★</w:t>
      </w:r>
      <w:bookmarkEnd w:id="264"/>
      <w:r/>
      <w:bookmarkEnd w:id="265"/>
      <w:r>
        <w:rPr>
          <w:rFonts w:hint="eastAsia" w:ascii="宋体" w:hAnsi="宋体" w:eastAsia="宋体" w:cs="宋体"/>
          <w:color w:val="000000" w:themeColor="text1"/>
          <w:highlight w:val="none"/>
          <w14:textFill>
            <w14:solidFill>
              <w14:schemeClr w14:val="tx1"/>
            </w14:solidFill>
          </w14:textFill>
        </w:rPr>
        <w:t xml:space="preserve">”内容）做出明确响应，否则视为无效投标。</w:t>
      </w:r>
      <w:r/>
    </w:p>
    <w:p>
      <w:pPr>
        <w:pStyle w:val="782"/>
        <w:ind w:firstLine="480"/>
        <w:jc w:val="both"/>
        <w:spacing w:before="0" w:beforeAutospacing="0" w:after="0" w:afterAutospacing="0"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2.行数不够，可自行添加。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pStyle w:val="734"/>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rPr>
          <w:rFonts w:ascii="宋体" w:hAnsi="宋体" w:cs="仿宋"/>
          <w:b/>
          <w:bCs/>
          <w:color w:val="000000" w:themeColor="text1"/>
          <w:sz w:val="32"/>
          <w:szCs w:val="32"/>
          <w:highlight w:val="none"/>
          <w14:textFill>
            <w14:solidFill>
              <w14:schemeClr w14:val="tx1"/>
            </w14:solidFill>
          </w14:textFill>
        </w:rPr>
      </w:pPr>
      <w:r>
        <w:rPr>
          <w:rFonts w:ascii="宋体" w:hAnsi="宋体" w:cs="仿宋"/>
          <w:b/>
          <w:bCs/>
          <w:color w:val="000000" w:themeColor="text1"/>
          <w:sz w:val="32"/>
          <w:szCs w:val="32"/>
          <w:highlight w:val="none"/>
          <w14:textFill>
            <w14:solidFill>
              <w14:schemeClr w14:val="tx1"/>
            </w14:solidFill>
          </w14:textFill>
        </w:rPr>
      </w:r>
      <w:r/>
    </w:p>
    <w:p>
      <w:pPr>
        <w:jc w:val="left"/>
        <w:widowControl/>
        <w:rPr>
          <w:rFonts w:ascii="宋体" w:hAnsi="宋体"/>
          <w:b/>
          <w:bCs/>
          <w:color w:val="000000" w:themeColor="text1"/>
          <w:sz w:val="24"/>
          <w:szCs w:val="32"/>
          <w:highlight w:val="none"/>
          <w:lang w:val="zh-CN"/>
          <w14:textFill>
            <w14:solidFill>
              <w14:schemeClr w14:val="tx1"/>
            </w14:solidFill>
          </w14:textFill>
        </w:rPr>
      </w:pPr>
      <w:r>
        <w:rPr>
          <w:color w:val="000000" w:themeColor="text1"/>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66" w:name="_Toc5495"/>
      <w:r>
        <w:rPr>
          <w:rFonts w:hint="eastAsia"/>
          <w:color w:val="000000" w:themeColor="text1"/>
          <w:highlight w:val="none"/>
          <w14:textFill>
            <w14:solidFill>
              <w14:schemeClr w14:val="tx1"/>
            </w14:solidFill>
          </w14:textFill>
        </w:rPr>
        <w:t xml:space="preserve">九、技术说明与服务方案</w:t>
      </w:r>
      <w:bookmarkEnd w:id="266"/>
      <w:r/>
      <w:r/>
    </w:p>
    <w:p>
      <w:pPr>
        <w:pStyle w:val="724"/>
        <w:rPr>
          <w:color w:val="000000" w:themeColor="text1"/>
          <w:highlight w:val="none"/>
          <w14:textFill>
            <w14:solidFill>
              <w14:schemeClr w14:val="tx1"/>
            </w14:solidFill>
          </w14:textFill>
        </w:rPr>
      </w:pPr>
      <w:r/>
      <w:bookmarkStart w:id="267" w:name="_Toc19771"/>
      <w:r>
        <w:rPr>
          <w:rFonts w:hint="eastAsia"/>
          <w:color w:val="000000" w:themeColor="text1"/>
          <w:highlight w:val="none"/>
          <w14:textFill>
            <w14:solidFill>
              <w14:schemeClr w14:val="tx1"/>
            </w14:solidFill>
          </w14:textFill>
        </w:rPr>
        <w:t xml:space="preserve">技术方案及服务承诺应根据招标人对项目的要求、评标标准的要求及项目本身的特点编写。</w:t>
      </w:r>
      <w:bookmarkEnd w:id="267"/>
      <w:r/>
      <w:r/>
    </w:p>
    <w:p>
      <w:pPr>
        <w:pStyle w:val="7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4"/>
        <w:numPr>
          <w:ilvl w:val="0"/>
          <w:numId w:val="3"/>
        </w:numPr>
        <w:rPr>
          <w:color w:val="000000" w:themeColor="text1"/>
          <w:highlight w:val="none"/>
          <w14:textFill>
            <w14:solidFill>
              <w14:schemeClr w14:val="tx1"/>
            </w14:solidFill>
          </w14:textFill>
        </w:rPr>
      </w:pPr>
      <w:r/>
      <w:bookmarkStart w:id="268" w:name="_Toc23011"/>
      <w:r>
        <w:rPr>
          <w:rFonts w:hint="eastAsia"/>
          <w:color w:val="000000" w:themeColor="text1"/>
          <w:highlight w:val="none"/>
          <w14:textFill>
            <w14:solidFill>
              <w14:schemeClr w14:val="tx1"/>
            </w14:solidFill>
          </w14:textFill>
        </w:rPr>
        <w:t xml:space="preserve">拟参与本项目服务人员一览表</w:t>
      </w:r>
      <w:bookmarkEnd w:id="268"/>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拟参与本项目服务人员一览表</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 </w:t>
      </w:r>
      <w:r/>
    </w:p>
    <w:p>
      <w:pPr>
        <w:jc w:val="lef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项目编号：</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0"/>
        <w:gridCol w:w="923"/>
        <w:gridCol w:w="683"/>
        <w:gridCol w:w="731"/>
        <w:gridCol w:w="1168"/>
        <w:gridCol w:w="958"/>
        <w:gridCol w:w="1050"/>
        <w:gridCol w:w="1023"/>
        <w:gridCol w:w="908"/>
        <w:gridCol w:w="875"/>
        <w:gridCol w:w="877"/>
      </w:tblGrid>
      <w:tr>
        <w:trPr>
          <w:trHeight w:val="8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0"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执业</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备注</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0"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9"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7" w:type="dxa"/>
            <w:textDirection w:val="lrTb"/>
            <w:noWrap w:val="false"/>
          </w:tcPr>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bl>
    <w:p>
      <w:pPr>
        <w:spacing w:line="85" w:lineRule="atLeast"/>
        <w:shd w:val="clear" w:color="ffffff" w:fill="ffffff"/>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投标单位（加盖电子公章）：</w:t>
      </w:r>
      <w:r>
        <w:rPr>
          <w:rFonts w:ascii="宋体" w:hAnsi="宋体" w:cs="宋体"/>
          <w:color w:val="000000" w:themeColor="text1"/>
          <w:highlight w:val="none"/>
          <w:u w:val="single"/>
          <w14:textFill>
            <w14:solidFill>
              <w14:schemeClr w14:val="tx1"/>
            </w14:solidFill>
          </w14:textFill>
        </w:rPr>
        <w:t xml:space="preserve">                             </w:t>
      </w:r>
      <w:r/>
    </w:p>
    <w:p>
      <w:pPr>
        <w:rPr>
          <w:rFonts w:ascii="宋体" w:hAnsi="宋体" w:cs="宋体"/>
          <w:b/>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注：提供</w:t>
      </w:r>
      <w:r>
        <w:rPr>
          <w:rFonts w:hint="eastAsia" w:ascii="宋体" w:hAnsi="宋体" w:cs="宋体"/>
          <w:b/>
          <w:color w:val="000000" w:themeColor="text1"/>
          <w:highlight w:val="none"/>
          <w14:textFill>
            <w14:solidFill>
              <w14:schemeClr w14:val="tx1"/>
            </w14:solidFill>
          </w14:textFill>
        </w:rPr>
        <w:t xml:space="preserve">相关人员</w:t>
      </w:r>
      <w:r>
        <w:rPr>
          <w:rFonts w:ascii="宋体" w:hAnsi="宋体" w:cs="宋体"/>
          <w:b/>
          <w:color w:val="000000" w:themeColor="text1"/>
          <w:highlight w:val="none"/>
          <w14:textFill>
            <w14:solidFill>
              <w14:schemeClr w14:val="tx1"/>
            </w14:solidFill>
          </w14:textFill>
        </w:rPr>
        <w:t xml:space="preserve">证书复印件并加盖公章及证明材料</w:t>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4"/>
        <w:numPr>
          <w:ilvl w:val="0"/>
          <w:numId w:val="3"/>
        </w:numPr>
        <w:rPr>
          <w:color w:val="000000" w:themeColor="text1"/>
          <w:highlight w:val="none"/>
          <w14:textFill>
            <w14:solidFill>
              <w14:schemeClr w14:val="tx1"/>
            </w14:solidFill>
          </w14:textFill>
        </w:rPr>
      </w:pPr>
      <w:r/>
      <w:bookmarkStart w:id="269" w:name="_Toc5248"/>
      <w:r>
        <w:rPr>
          <w:rFonts w:hint="eastAsia"/>
          <w:color w:val="000000" w:themeColor="text1"/>
          <w:highlight w:val="none"/>
          <w14:textFill>
            <w14:solidFill>
              <w14:schemeClr w14:val="tx1"/>
            </w14:solidFill>
          </w14:textFill>
        </w:rPr>
        <w:t xml:space="preserve">投标人类似业绩情况表</w:t>
      </w:r>
      <w:bookmarkEnd w:id="269"/>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24"/>
          <w:highlight w:val="none"/>
          <w14:textFill>
            <w14:solidFill>
              <w14:schemeClr w14:val="tx1"/>
            </w14:solidFill>
          </w14:textFill>
        </w:rPr>
        <w:t xml:space="preserve">投标人类似业绩情况表</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项目</w:t>
            </w:r>
            <w:r/>
          </w:p>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获奖</w:t>
            </w:r>
            <w:r/>
          </w:p>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签约及服务</w:t>
            </w:r>
            <w:r/>
          </w:p>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ind w:firstLine="120"/>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textDirection w:val="lrTb"/>
            <w:noWrap w:val="false"/>
          </w:tcPr>
          <w:p>
            <w:pPr>
              <w:jc w:val="center"/>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tc>
      </w:tr>
    </w:tbl>
    <w:p>
      <w:pPr>
        <w:spacing w:line="85" w:lineRule="atLeast"/>
        <w:shd w:val="clear" w:color="ffffff" w:fill="ffffff"/>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r>
      <w:r/>
    </w:p>
    <w:p>
      <w:pPr>
        <w:spacing w:line="85" w:lineRule="atLeast"/>
        <w:shd w:val="clear" w:color="ffffff" w:fill="ffff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投标单位（加盖电子公章）：</w:t>
      </w:r>
      <w:r>
        <w:rPr>
          <w:rFonts w:ascii="宋体" w:hAnsi="宋体" w:cs="宋体"/>
          <w:color w:val="000000" w:themeColor="text1"/>
          <w:highlight w:val="none"/>
          <w:u w:val="single"/>
          <w14:textFill>
            <w14:solidFill>
              <w14:schemeClr w14:val="tx1"/>
            </w14:solidFill>
          </w14:textFill>
        </w:rPr>
        <w:t xml:space="preserve">                             </w:t>
      </w:r>
      <w:r/>
    </w:p>
    <w:p>
      <w:pPr>
        <w:spacing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highlight w:val="none"/>
          <w14:textFill>
            <w14:solidFill>
              <w14:schemeClr w14:val="tx1"/>
            </w14:solidFill>
          </w14:textFill>
        </w:rPr>
        <w:t xml:space="preserve"> </w:t>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4"/>
        <w:rPr>
          <w:color w:val="000000" w:themeColor="text1"/>
          <w:highlight w:val="none"/>
          <w14:textFill>
            <w14:solidFill>
              <w14:schemeClr w14:val="tx1"/>
            </w14:solidFill>
          </w14:textFill>
        </w:rPr>
      </w:pPr>
      <w:r/>
      <w:bookmarkStart w:id="270" w:name="_Toc3488"/>
      <w:r>
        <w:rPr>
          <w:rFonts w:hint="eastAsia"/>
          <w:color w:val="000000" w:themeColor="text1"/>
          <w:highlight w:val="none"/>
          <w14:textFill>
            <w14:solidFill>
              <w14:schemeClr w14:val="tx1"/>
            </w14:solidFill>
          </w14:textFill>
        </w:rPr>
        <w:t xml:space="preserve">十二、中小企业声明函</w:t>
      </w:r>
      <w:bookmarkEnd w:id="270"/>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中小企业声明函（服务）</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南京市莫愁湖公园2026年胜棋楼片区展陈品质提升项目</w:t>
      </w:r>
      <w:r>
        <w:rPr>
          <w:rFonts w:hint="eastAsia" w:ascii="宋体" w:hAnsi="宋体"/>
          <w:color w:val="000000" w:themeColor="text1"/>
          <w:sz w:val="24"/>
          <w:szCs w:val="24"/>
          <w:highlight w:val="none"/>
          <w14:textFill>
            <w14:solidFill>
              <w14:schemeClr w14:val="tx1"/>
            </w14:solidFill>
          </w14:textFill>
        </w:rPr>
        <w:t xml:space="preserve">项目（分包号：</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2011</w:t>
      </w:r>
      <w:r>
        <w:rPr>
          <w:rFonts w:hint="eastAsia" w:ascii="仿宋_GB2312" w:hAnsi="仿宋_GB2312" w:eastAsia="仿宋_GB2312" w:cs="仿宋_GB2312"/>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300号)的规定，相关企业（含联合体中的小微企业、签订分包意向协议的中小企业）的具体情况如下：</w:t>
      </w:r>
      <w:r/>
    </w:p>
    <w:p>
      <w:pPr>
        <w:ind w:firstLine="480"/>
        <w:spacing w:line="360" w:lineRule="auto"/>
        <w:rPr>
          <w:rFonts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1.（标的名称）属于行业（招标文件中明确的所属行业）；承接企业为（企业名称），从业人员人，营业收入为万元，资产总额为万元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w:t>
      </w:r>
      <w:r/>
    </w:p>
    <w:p>
      <w:pPr>
        <w:ind w:firstLine="480"/>
        <w:spacing w:line="360" w:lineRule="auto"/>
        <w:rPr>
          <w:rFonts w:ascii="宋体" w:hAnsi="宋体"/>
          <w:i/>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2.（标的名称）属于行业（招标文件中明确的所属行业）；承接企业为（企业名称），从业人员人，营业收入为万元，资产总额为万元</w:t>
      </w:r>
      <w:r>
        <w:rPr>
          <w:rFonts w:hint="eastAsia" w:ascii="宋体" w:hAnsi="宋体"/>
          <w:color w:val="000000" w:themeColor="text1"/>
          <w:sz w:val="24"/>
          <w:szCs w:val="24"/>
          <w:highlight w:val="none"/>
          <w:vertAlign w:val="superscript"/>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，属于</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中型企业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小型企业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微型企业。</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360"/>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企业名称：（加盖电子公章）</w:t>
      </w:r>
      <w:r/>
    </w:p>
    <w:p>
      <w:pPr>
        <w:ind w:firstLine="6000"/>
        <w:spacing w:line="360" w:lineRule="auto"/>
        <w:rPr>
          <w:rFonts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360" w:lineRule="auto"/>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内打“√”。3.供应商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ind w:firstLine="420"/>
        <w:spacing w:line="360" w:lineRule="auto"/>
        <w:rPr>
          <w:rFonts w:ascii="宋体" w:hAnsi="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71" w:name="_Toc1865"/>
      <w:r>
        <w:rPr>
          <w:rFonts w:hint="eastAsia"/>
          <w:iCs/>
          <w:color w:val="000000" w:themeColor="text1"/>
          <w:highlight w:val="none"/>
          <w14:textFill>
            <w14:solidFill>
              <w14:schemeClr w14:val="tx1"/>
            </w14:solidFill>
          </w14:textFill>
        </w:rPr>
        <w:t xml:space="preserve">十三、</w:t>
      </w:r>
      <w:r>
        <w:rPr>
          <w:rFonts w:hint="eastAsia"/>
          <w:color w:val="000000" w:themeColor="text1"/>
          <w:highlight w:val="none"/>
          <w14:textFill>
            <w14:solidFill>
              <w14:schemeClr w14:val="tx1"/>
            </w14:solidFill>
          </w14:textFill>
        </w:rPr>
        <w:t xml:space="preserve">残疾人福利性单位声明函</w:t>
      </w:r>
      <w:bookmarkEnd w:id="271"/>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残疾人福利性单位声明函</w:t>
      </w:r>
      <w:r/>
    </w:p>
    <w:p>
      <w:pPr>
        <w:ind w:firstLine="480"/>
        <w:spacing w:line="360" w:lineRule="auto"/>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（单位名称）采购编号为项目（分包号：</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服务全部由本单位提供</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本单位对上述声明的真实性负责，如有虚假，将依法承担相应责任。</w:t>
      </w:r>
      <w:r/>
    </w:p>
    <w:p>
      <w:pPr>
        <w:pStyle w:val="734"/>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80" w:firstLine="360"/>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企业名称：（加盖电子公章）</w:t>
      </w:r>
      <w:r/>
    </w:p>
    <w:p>
      <w:pPr>
        <w:ind w:firstLine="6000"/>
        <w:spacing w:line="360" w:lineRule="auto"/>
        <w:rPr>
          <w:rFonts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1.供应商如不提供此声明函，价格将不作相应扣除。</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2.中标人为残疾人福利性单位的，此声明函将随中标结果同时公告，接受社会监督。</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center"/>
        <w:spacing w:line="56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jc w:val="left"/>
        <w:spacing w:line="360" w:lineRule="auto"/>
        <w:rPr>
          <w:rFonts w:ascii="黑体" w:hAnsi="黑体" w:eastAsia="黑体"/>
          <w:color w:val="000000" w:themeColor="text1"/>
          <w:sz w:val="32"/>
          <w:szCs w:val="32"/>
          <w:highlight w:val="none"/>
          <w14:textFill>
            <w14:solidFill>
              <w14:schemeClr w14:val="tx1"/>
            </w14:solidFill>
          </w14:textFill>
        </w:rPr>
      </w:pPr>
      <w:r>
        <w:rPr>
          <w:rFonts w:ascii="黑体" w:hAnsi="黑体" w:eastAsia="黑体"/>
          <w:color w:val="000000" w:themeColor="text1"/>
          <w:sz w:val="32"/>
          <w:szCs w:val="32"/>
          <w:highlight w:val="none"/>
          <w14:textFill>
            <w14:solidFill>
              <w14:schemeClr w14:val="tx1"/>
            </w14:solidFill>
          </w14:textFill>
        </w:rPr>
      </w:r>
      <w:r/>
    </w:p>
    <w:p>
      <w:pPr>
        <w:jc w:val="left"/>
        <w:widowControl/>
        <w:rPr>
          <w:rFonts w:ascii="宋体" w:hAnsi="宋体"/>
          <w:b/>
          <w:bCs/>
          <w:color w:val="000000" w:themeColor="text1"/>
          <w:sz w:val="24"/>
          <w:szCs w:val="32"/>
          <w:highlight w:val="none"/>
          <w:lang w:val="zh-CN"/>
          <w14:textFill>
            <w14:solidFill>
              <w14:schemeClr w14:val="tx1"/>
            </w14:solidFill>
          </w14:textFill>
        </w:rPr>
      </w:pPr>
      <w:r>
        <w:rPr>
          <w:color w:val="000000" w:themeColor="text1"/>
          <w:highlight w:val="none"/>
          <w14:textFill>
            <w14:solidFill>
              <w14:schemeClr w14:val="tx1"/>
            </w14:solidFill>
          </w14:textFill>
        </w:rPr>
        <w:br w:type="page" w:clear="all"/>
      </w:r>
      <w:r/>
    </w:p>
    <w:p>
      <w:pPr>
        <w:pStyle w:val="724"/>
        <w:rPr>
          <w:color w:val="000000" w:themeColor="text1"/>
          <w:highlight w:val="none"/>
          <w14:textFill>
            <w14:solidFill>
              <w14:schemeClr w14:val="tx1"/>
            </w14:solidFill>
          </w14:textFill>
        </w:rPr>
      </w:pPr>
      <w:r/>
      <w:bookmarkStart w:id="272" w:name="_Toc2910"/>
      <w:r>
        <w:rPr>
          <w:rFonts w:hint="eastAsia"/>
          <w:color w:val="000000" w:themeColor="text1"/>
          <w:highlight w:val="none"/>
          <w14:textFill>
            <w14:solidFill>
              <w14:schemeClr w14:val="tx1"/>
            </w14:solidFill>
          </w14:textFill>
        </w:rPr>
        <w:t xml:space="preserve">十四、联合体协议（本项目无需提供）</w:t>
      </w:r>
      <w:bookmarkEnd w:id="272"/>
      <w:r/>
      <w:r/>
    </w:p>
    <w:p>
      <w:pPr>
        <w:jc w:val="center"/>
        <w:spacing w:line="360" w:lineRule="auto"/>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联合体协议</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（联合体中各供应商全称）在此达成以下协议：</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.我们</w:t>
      </w:r>
      <w:r>
        <w:rPr>
          <w:rFonts w:hint="eastAsia" w:ascii="宋体" w:hAnsi="宋体"/>
          <w:color w:val="000000" w:themeColor="text1"/>
          <w:sz w:val="24"/>
          <w:highlight w:val="none"/>
          <w:u w:val="single"/>
          <w14:textFill>
            <w14:solidFill>
              <w14:schemeClr w14:val="tx1"/>
            </w14:solidFill>
          </w14:textFill>
        </w:rPr>
        <w:t xml:space="preserve"> （供应商1），（供应商2） ，</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自愿组成联合体，</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（单位名称）采购编号为</w:t>
      </w:r>
      <w:r>
        <w:rPr>
          <w:rFonts w:hint="eastAsia" w:ascii="宋体" w:hAnsi="宋体"/>
          <w:color w:val="000000" w:themeColor="text1"/>
          <w:sz w:val="24"/>
          <w:szCs w:val="24"/>
          <w:highlight w:val="none"/>
          <w:u w:val="single"/>
          <w14:textFill>
            <w14:solidFill>
              <w14:schemeClr w14:val="tx1"/>
            </w14:solidFill>
          </w14:textFill>
        </w:rPr>
        <w:t xml:space="preserve">XXXXXXXXXXXXXXXXXXXXXXXXX</w:t>
      </w:r>
      <w:r>
        <w:rPr>
          <w:rFonts w:hint="eastAsia" w:ascii="宋体" w:hAnsi="宋体"/>
          <w:color w:val="000000" w:themeColor="text1"/>
          <w:sz w:val="24"/>
          <w:szCs w:val="24"/>
          <w:highlight w:val="none"/>
          <w14:textFill>
            <w14:solidFill>
              <w14:schemeClr w14:val="tx1"/>
            </w14:solidFill>
          </w14:textFill>
        </w:rPr>
        <w:t xml:space="preserve">项目（分包号：</w:t>
      </w:r>
      <w:r>
        <w:rPr>
          <w:rFonts w:hint="eastAsia" w:ascii="宋体" w:hAnsi="宋体"/>
          <w:color w:val="000000" w:themeColor="text1"/>
          <w:sz w:val="24"/>
          <w:szCs w:val="24"/>
          <w:highlight w:val="none"/>
          <w:u w:val="single"/>
          <w14:textFill>
            <w14:solidFill>
              <w14:schemeClr w14:val="tx1"/>
            </w14:solidFill>
          </w14:textFill>
        </w:rPr>
        <w:t xml:space="preserve">XXX</w:t>
      </w:r>
      <w:r>
        <w:rPr>
          <w:rFonts w:hint="eastAsia" w:ascii="宋体" w:hAnsi="宋体"/>
          <w:color w:val="000000" w:themeColor="text1"/>
          <w:sz w:val="24"/>
          <w:szCs w:val="24"/>
          <w:highlight w:val="none"/>
          <w14:textFill>
            <w14:solidFill>
              <w14:schemeClr w14:val="tx1"/>
            </w14:solidFill>
          </w14:textFill>
        </w:rPr>
        <w:t xml:space="preserve">）的采购活动</w:t>
      </w:r>
      <w:r>
        <w:rPr>
          <w:rFonts w:hint="eastAsia" w:ascii="宋体" w:hAnsi="宋体"/>
          <w:color w:val="000000" w:themeColor="text1"/>
          <w:sz w:val="24"/>
          <w:highlight w:val="none"/>
          <w14:textFill>
            <w14:solidFill>
              <w14:schemeClr w14:val="tx1"/>
            </w14:solidFill>
          </w14:textFill>
        </w:rPr>
        <w:t xml:space="preserve">，并指定</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（供应商名称）为牵头单位。</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.若我们联合中标，</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（供应商名称）实施项目中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（工作内容）部分工作，并承担相应的责任；</w:t>
      </w:r>
      <w:r>
        <w:rPr>
          <w:rFonts w:hint="eastAsia" w:ascii="宋体" w:hAnsi="宋体"/>
          <w:color w:val="000000" w:themeColor="text1"/>
          <w:sz w:val="24"/>
          <w:szCs w:val="24"/>
          <w:highlight w:val="none"/>
          <w:u w:val="single"/>
          <w14:textFill>
            <w14:solidFill>
              <w14:schemeClr w14:val="tx1"/>
            </w14:solidFill>
          </w14:textFill>
        </w:rPr>
        <w:t xml:space="preserve">XXXXXXXXXXXXXXXXXXX</w:t>
      </w:r>
      <w:r>
        <w:rPr>
          <w:rFonts w:hint="eastAsia" w:ascii="宋体" w:hAnsi="宋体"/>
          <w:color w:val="000000" w:themeColor="text1"/>
          <w:sz w:val="24"/>
          <w:highlight w:val="none"/>
          <w14:textFill>
            <w14:solidFill>
              <w14:schemeClr w14:val="tx1"/>
            </w14:solidFill>
          </w14:textFill>
        </w:rPr>
        <w:t xml:space="preserve">（供应商名称）实施项目中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（工作内容）部分工作，并承担相应的责任；……。（注：需明确联合体中各供应商所承担的工作和相应的责任）。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.其中，</w:t>
      </w:r>
      <w:r>
        <w:rPr>
          <w:rFonts w:hint="eastAsia" w:ascii="宋体" w:hAnsi="宋体"/>
          <w:color w:val="000000" w:themeColor="text1"/>
          <w:sz w:val="24"/>
          <w:highlight w:val="none"/>
          <w:u w:val="single"/>
          <w14:textFill>
            <w14:solidFill>
              <w14:schemeClr w14:val="tx1"/>
            </w14:solidFill>
          </w14:textFill>
        </w:rPr>
        <w:t xml:space="preserve">XXXXXXXXX</w:t>
      </w:r>
      <w:r>
        <w:rPr>
          <w:rFonts w:hint="eastAsia" w:ascii="宋体" w:hAnsi="宋体"/>
          <w:color w:val="000000" w:themeColor="text1"/>
          <w:sz w:val="24"/>
          <w:highlight w:val="none"/>
          <w14:textFill>
            <w14:solidFill>
              <w14:schemeClr w14:val="tx1"/>
            </w14:solidFill>
          </w14:textFill>
        </w:rPr>
        <w:t xml:space="preserve">（企业全称）为</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小型、微型企业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残疾人福利性单位 </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监狱企业，且我们约定该单位所承担的合同金额将占本项目合同总金额的</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ind w:firstLine="645"/>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45"/>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45"/>
        <w:jc w:val="righ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联合体中各供应商全称：</w:t>
      </w:r>
      <w:r>
        <w:rPr>
          <w:rFonts w:hint="eastAsia" w:ascii="宋体" w:hAnsi="宋体"/>
          <w:color w:val="000000" w:themeColor="text1"/>
          <w:sz w:val="24"/>
          <w:szCs w:val="24"/>
          <w:highlight w:val="none"/>
          <w14:textFill>
            <w14:solidFill>
              <w14:schemeClr w14:val="tx1"/>
            </w14:solidFill>
          </w14:textFill>
        </w:rPr>
        <w:t xml:space="preserve">（加盖电子公章）</w:t>
      </w:r>
      <w:r/>
    </w:p>
    <w:p>
      <w:pPr>
        <w:ind w:firstLine="5280"/>
        <w:spacing w:line="360" w:lineRule="auto"/>
        <w:rPr>
          <w:rFonts w:ascii="宋体" w:hAnsi="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1.牵头单位必须为联合体成员。</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2.在所属企业类型前的</w:t>
      </w:r>
      <w:r>
        <w:rPr>
          <w:rFonts w:ascii="Wingdings" w:hAnsi="Wingdings" w:eastAsia="Wingdings" w:cs="Wingding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内打“</w:t>
      </w:r>
      <w:r>
        <w:rPr>
          <w:rFonts w:ascii="Arial" w:hAnsi="Arial" w:cs="Arial"/>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3.除另有说明外，本招标文件要求加盖电子公章之处，加盖牵头单位的电子公章即可。</w:t>
      </w:r>
      <w:r/>
    </w:p>
    <w:p>
      <w:pPr>
        <w:pStyle w:val="787"/>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45"/>
        <w:spacing w:line="5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645"/>
        <w:spacing w:line="56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73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p>
    <w:p>
      <w:pPr>
        <w:pStyle w:val="73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24"/>
        <w:numPr>
          <w:ilvl w:val="0"/>
          <w:numId w:val="0"/>
        </w:numPr>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eastAsia="宋体" w:cstheme="majorBidi"/>
          <w:bCs/>
          <w:color w:val="000000" w:themeColor="text1"/>
          <w:sz w:val="24"/>
          <w:szCs w:val="32"/>
          <w:highlight w:val="none"/>
          <w:lang w:val="en-US" w:eastAsia="zh-CN" w:bidi="ar-SA"/>
          <w14:textFill>
            <w14:solidFill>
              <w14:schemeClr w14:val="tx1"/>
            </w14:solidFill>
          </w14:textFill>
        </w:rPr>
        <w:t xml:space="preserve">十五、</w:t>
      </w:r>
      <w:r>
        <w:rPr>
          <w:rFonts w:hint="eastAsia" w:ascii="宋体" w:hAnsi="宋体" w:eastAsia="宋体"/>
          <w:color w:val="000000" w:themeColor="text1"/>
          <w:highlight w:val="none"/>
          <w:lang w:val="en-US" w:eastAsia="zh-CN"/>
          <w14:textFill>
            <w14:solidFill>
              <w14:schemeClr w14:val="tx1"/>
            </w14:solidFill>
          </w14:textFill>
        </w:rPr>
        <w:t xml:space="preserve">南京市政府采购供应商信用承诺书</w:t>
      </w:r>
      <w:r/>
    </w:p>
    <w:p>
      <w:pPr>
        <w:pStyle w:val="724"/>
        <w:numPr>
          <w:ilvl w:val="0"/>
          <w:numId w:val="0"/>
        </w:numPr>
        <w:jc w:val="center"/>
        <w:rPr>
          <w:rFonts w:hint="eastAsia"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 xml:space="preserve">南京市政府采购供应商信用承诺书</w:t>
      </w:r>
      <w:r/>
    </w:p>
    <w:p>
      <w:pPr>
        <w:pStyle w:val="735"/>
        <w:jc w:val="center"/>
        <w:rPr>
          <w:rFonts w:hint="eastAsia" w:eastAsia="宋体"/>
          <w:color w:val="000000" w:themeColor="text1"/>
          <w:sz w:val="16"/>
          <w:szCs w:val="15"/>
          <w:highlight w:val="none"/>
          <w:lang w:eastAsia="zh-CN"/>
          <w14:textFill>
            <w14:solidFill>
              <w14:schemeClr w14:val="tx1"/>
            </w14:solidFill>
          </w14:textFill>
        </w:rPr>
      </w:pPr>
      <w:r>
        <w:rPr>
          <w:rFonts w:hint="eastAsia" w:ascii="宋体" w:hAnsi="宋体" w:cs="宋体"/>
          <w:bCs/>
          <w:color w:val="000000" w:themeColor="text1"/>
          <w:sz w:val="22"/>
          <w:szCs w:val="22"/>
          <w:highlight w:val="none"/>
          <w:lang w:eastAsia="zh-CN"/>
          <w14:textFill>
            <w14:solidFill>
              <w14:schemeClr w14:val="tx1"/>
            </w14:solidFill>
          </w14:textFill>
        </w:rPr>
        <w:t xml:space="preserve">（</w:t>
      </w:r>
      <w:r>
        <w:rPr>
          <w:rFonts w:hint="eastAsia" w:ascii="宋体" w:hAnsi="宋体" w:cs="宋体"/>
          <w:bCs/>
          <w:color w:val="000000" w:themeColor="text1"/>
          <w:sz w:val="22"/>
          <w:szCs w:val="22"/>
          <w:highlight w:val="none"/>
          <w:lang w:val="en-US" w:eastAsia="zh-CN"/>
          <w14:textFill>
            <w14:solidFill>
              <w14:schemeClr w14:val="tx1"/>
            </w14:solidFill>
          </w14:textFill>
        </w:rPr>
        <w:t xml:space="preserve">直接填写</w:t>
      </w:r>
      <w:r>
        <w:rPr>
          <w:rFonts w:hint="eastAsia" w:ascii="宋体" w:hAnsi="宋体" w:cs="宋体"/>
          <w:bCs/>
          <w:color w:val="000000" w:themeColor="text1"/>
          <w:sz w:val="22"/>
          <w:szCs w:val="22"/>
          <w:highlight w:val="none"/>
          <w:lang w:eastAsia="zh-CN"/>
          <w14:textFill>
            <w14:solidFill>
              <w14:schemeClr w14:val="tx1"/>
            </w14:solidFill>
          </w14:textFill>
        </w:rPr>
        <w:t xml:space="preserve">）</w:t>
      </w:r>
      <w:r/>
    </w:p>
    <w:tbl>
      <w:tblPr>
        <w:tblStyle w:val="733"/>
        <w:tblW w:w="95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2510"/>
      </w:tblGrid>
      <w:tr>
        <w:trPr>
          <w:trHeight w:val="20"/>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单位名称</w:t>
            </w:r>
            <w:r/>
          </w:p>
        </w:tc>
        <w:tc>
          <w:tcPr>
            <w:tcW w:w="3402"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c>
          <w:tcPr>
            <w:tcW w:w="1984"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统一社会信用代码</w:t>
            </w:r>
            <w:r/>
          </w:p>
        </w:tc>
        <w:tc>
          <w:tcPr>
            <w:tcW w:w="2510"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20"/>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w:t>
            </w:r>
            <w:r/>
          </w:p>
        </w:tc>
        <w:tc>
          <w:tcPr>
            <w:tcW w:w="3402"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c>
          <w:tcPr>
            <w:tcW w:w="1984"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联系人</w:t>
            </w:r>
            <w:r/>
          </w:p>
        </w:tc>
        <w:tc>
          <w:tcPr>
            <w:tcW w:w="2510"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20"/>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联系地址 </w:t>
            </w:r>
            <w:r/>
          </w:p>
        </w:tc>
        <w:tc>
          <w:tcPr>
            <w:tcW w:w="3402"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c>
          <w:tcPr>
            <w:tcW w:w="1984"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联系电话</w:t>
            </w:r>
            <w:r/>
          </w:p>
        </w:tc>
        <w:tc>
          <w:tcPr>
            <w:tcW w:w="2510"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1162"/>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诚信档案记录情况</w:t>
            </w:r>
            <w:r/>
          </w:p>
        </w:tc>
        <w:tc>
          <w:tcPr>
            <w:gridSpan w:val="3"/>
            <w:tcW w:w="7896"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ascii="宋体" w:hAnsi="宋体" w:cs="宋体"/>
                <w:bCs/>
                <w:color w:val="000000" w:themeColor="text1"/>
                <w:highlight w:val="none"/>
                <w14:textFill>
                  <w14:solidFill>
                    <w14:schemeClr w14:val="tx1"/>
                  </w14:solidFill>
                </w14:textFill>
              </w:rPr>
            </w:r>
            <w:r/>
          </w:p>
        </w:tc>
      </w:tr>
      <w:tr>
        <w:trPr>
          <w:trHeight w:val="5318"/>
        </w:trPr>
        <w:tc>
          <w:tcPr>
            <w:tcW w:w="1668" w:type="dxa"/>
            <w:textDirection w:val="lrTb"/>
            <w:noWrap w:val="false"/>
          </w:tcPr>
          <w:p>
            <w:pPr>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信用承诺</w:t>
            </w:r>
            <w:r/>
          </w:p>
        </w:tc>
        <w:tc>
          <w:tcPr>
            <w:gridSpan w:val="3"/>
            <w:tcW w:w="7896" w:type="dxa"/>
            <w:textDirection w:val="lrTb"/>
            <w:noWrap w:val="false"/>
          </w:tcPr>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我公司自愿参加贵中心(公司)组织的本次采购活动，严格遵守《中华人民政府采购法》及相关</w:t>
            </w:r>
            <w:r>
              <w:rPr>
                <w:rFonts w:hint="eastAsia" w:ascii="宋体" w:hAnsi="宋体" w:cs="宋体"/>
                <w:bCs/>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jc w:val="cente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供应商名称（盖章）：</w:t>
            </w:r>
            <w:r/>
          </w:p>
          <w:p>
            <w:pPr>
              <w:jc w:val="cente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法定代表人（签字）：</w:t>
            </w:r>
            <w:r/>
          </w:p>
          <w:p>
            <w:pPr>
              <w:jc w:val="center"/>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                           </w:t>
            </w:r>
            <w:r>
              <w:rPr>
                <w:rFonts w:hint="eastAsia" w:ascii="宋体" w:hAnsi="宋体" w:cs="宋体"/>
                <w:bCs/>
                <w:color w:val="000000" w:themeColor="text1"/>
                <w:highlight w:val="none"/>
                <w14:textFill>
                  <w14:solidFill>
                    <w14:schemeClr w14:val="tx1"/>
                  </w14:solidFill>
                </w14:textFill>
              </w:rPr>
              <w:t xml:space="preserve">年    月     日</w:t>
            </w:r>
            <w:r/>
          </w:p>
        </w:tc>
      </w:tr>
    </w:tbl>
    <w:p>
      <w:pP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lang w:val="en-US" w:eastAsia="zh-CN"/>
          <w14:textFill>
            <w14:solidFill>
              <w14:schemeClr w14:val="tx1"/>
            </w14:solidFill>
          </w14:textFill>
        </w:rPr>
      </w:r>
      <w:r/>
    </w:p>
    <w:p>
      <w:pP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br w:type="page" w:clear="all"/>
      </w:r>
      <w:r/>
    </w:p>
    <w:p>
      <w:pPr>
        <w:jc w:val="left"/>
        <w:widowControl/>
        <w:rPr>
          <w:rFonts w:ascii="方正小标宋简体" w:hAnsi="方正小标宋简体" w:eastAsia="方正小标宋简体" w:cs="方正小标宋简体"/>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highlight w:val="none"/>
          <w14:textFill>
            <w14:solidFill>
              <w14:schemeClr w14:val="tx1"/>
            </w14:solidFill>
          </w14:textFill>
        </w:rPr>
        <w:t xml:space="preserve">质疑函范本</w:t>
      </w:r>
      <w:r/>
    </w:p>
    <w:p>
      <w:pPr>
        <w:spacing w:before="290" w:line="360" w:lineRule="auto"/>
        <w:rPr>
          <w:rFonts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供应商名称：</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地址：邮编：</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联系人：联系电话：</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授权代表：联系电话：</w:t>
      </w:r>
      <w:r/>
    </w:p>
    <w:p>
      <w:pPr>
        <w:spacing w:before="290" w:line="360" w:lineRule="auto"/>
        <w:rPr>
          <w:rFonts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项目名称：</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项目编号：分包号：</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p>
    <w:p>
      <w:pPr>
        <w:spacing w:before="290" w:line="360" w:lineRule="auto"/>
        <w:rPr>
          <w:rFonts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ascii="宋体" w:hAnsi="宋体" w:cs="仿宋"/>
          <w:color w:val="000000" w:themeColor="text1"/>
          <w:sz w:val="24"/>
          <w:szCs w:val="24"/>
          <w:highlight w:val="none"/>
          <w:u w:val="single"/>
          <w14:textFill>
            <w14:solidFill>
              <w14:schemeClr w14:val="tx1"/>
            </w14:solidFill>
          </w14:textFill>
        </w:rPr>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before="290" w:line="360" w:lineRule="auto"/>
        <w:rPr>
          <w:rFonts w:ascii="方正黑体_GBK" w:hAnsi="方正黑体_GBK" w:eastAsia="方正黑体_GBK" w:cs="方正黑体_GBK"/>
          <w:bCs/>
          <w:color w:val="000000" w:themeColor="text1"/>
          <w:sz w:val="24"/>
          <w:szCs w:val="24"/>
          <w:highlight w:val="none"/>
          <w14:textFill>
            <w14:solidFill>
              <w14:schemeClr w14:val="tx1"/>
            </w14:solidFill>
          </w14:textFill>
        </w:rPr>
      </w:pPr>
      <w:r>
        <w:rPr>
          <w:rFonts w:hint="eastAsia" w:ascii="方正黑体_GBK" w:hAnsi="方正黑体_GBK" w:eastAsia="方正黑体_GBK" w:cs="方正黑体_GBK"/>
          <w:bCs/>
          <w:color w:val="000000" w:themeColor="text1"/>
          <w:sz w:val="24"/>
          <w:szCs w:val="24"/>
          <w:highlight w:val="none"/>
          <w14:textFill>
            <w14:solidFill>
              <w14:schemeClr w14:val="tx1"/>
            </w14:solidFill>
          </w14:textFill>
        </w:rPr>
        <w:t xml:space="preserve">四、质疑事项相关请求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  字(签章)：                                 公  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    </w:t>
      </w:r>
      <w:r/>
    </w:p>
    <w:p>
      <w:pPr>
        <w:ind w:firstLine="480"/>
        <w:spacing w:line="4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4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相关说明：</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1.供应商提出质疑，应提交《质疑函》和必要的证明材料。</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2.由授权代表负责质疑事宜的，《质疑函》附件中应提交由质疑供应商法定代表人签署的《授权委托书》。</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3.质疑供应商针对项目的某一分包进行质疑的，《质疑函》中应明确分包号。</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5.《质疑函》的质疑请求应与质疑事项相关。</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7.质疑</w:t>
      </w:r>
      <w:r>
        <w:rPr>
          <w:rFonts w:hint="eastAsia" w:ascii="宋体" w:hAnsi="宋体" w:cs="仿宋"/>
          <w:color w:val="000000" w:themeColor="text1"/>
          <w:sz w:val="24"/>
          <w:szCs w:val="24"/>
          <w:highlight w:val="none"/>
          <w:lang w:val="zh-CN"/>
          <w14:textFill>
            <w14:solidFill>
              <w14:schemeClr w14:val="tx1"/>
            </w14:solidFill>
          </w14:textFill>
        </w:rPr>
        <w:t xml:space="preserve">供应商</w:t>
      </w:r>
      <w:r>
        <w:rPr>
          <w:rFonts w:hint="eastAsia" w:ascii="宋体" w:hAnsi="宋体" w:cs="仿宋"/>
          <w:color w:val="000000" w:themeColor="text1"/>
          <w:sz w:val="24"/>
          <w:szCs w:val="24"/>
          <w:highlight w:val="none"/>
          <w14:textFill>
            <w14:solidFill>
              <w14:schemeClr w14:val="tx1"/>
            </w14:solidFill>
          </w14:textFill>
        </w:rPr>
        <w:t xml:space="preserve">为</w:t>
      </w:r>
      <w:r>
        <w:rPr>
          <w:rFonts w:hint="eastAsia" w:ascii="宋体" w:hAnsi="宋体" w:cs="仿宋"/>
          <w:color w:val="000000" w:themeColor="text1"/>
          <w:sz w:val="24"/>
          <w:szCs w:val="24"/>
          <w:highlight w:val="none"/>
          <w:lang w:val="zh-CN"/>
          <w14:textFill>
            <w14:solidFill>
              <w14:schemeClr w14:val="tx1"/>
            </w14:solidFill>
          </w14:textFill>
        </w:rPr>
        <w:t xml:space="preserve">联合体</w:t>
      </w:r>
      <w:r>
        <w:rPr>
          <w:rFonts w:hint="eastAsia" w:ascii="宋体" w:hAnsi="宋体" w:cs="仿宋"/>
          <w:color w:val="000000" w:themeColor="text1"/>
          <w:sz w:val="24"/>
          <w:szCs w:val="24"/>
          <w:highlight w:val="none"/>
          <w14:textFill>
            <w14:solidFill>
              <w14:schemeClr w14:val="tx1"/>
            </w14:solidFill>
          </w14:textFill>
        </w:rPr>
        <w:t xml:space="preserve">的</w:t>
      </w:r>
      <w:r>
        <w:rPr>
          <w:rFonts w:hint="eastAsia" w:ascii="宋体" w:hAnsi="宋体" w:cs="仿宋"/>
          <w:color w:val="000000" w:themeColor="text1"/>
          <w:sz w:val="24"/>
          <w:szCs w:val="24"/>
          <w:highlight w:val="none"/>
          <w:lang w:val="zh-CN"/>
          <w14:textFill>
            <w14:solidFill>
              <w14:schemeClr w14:val="tx1"/>
            </w14:solidFill>
          </w14:textFill>
        </w:rPr>
        <w:t xml:space="preserve">，则《质疑函》中要求加盖公章之处，联合体各方均须按要求加盖公章。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080" w:bottom="1440" w:left="1080"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小标宋简体">
    <w:panose1 w:val="020B0503020202020204"/>
  </w:font>
  <w:font w:name="方正黑体_GBK">
    <w:panose1 w:val="020B0503020202020204"/>
  </w:font>
  <w:font w:name="Symbol">
    <w:panose1 w:val="05050102010706020507"/>
  </w:font>
  <w:font w:name="Wingdings">
    <w:panose1 w:val="05000000000000000000"/>
  </w:font>
  <w:font w:name="华文楷体">
    <w:panose1 w:val="02010600040101010101"/>
  </w:font>
  <w:font w:name="Segoe UI">
    <w:panose1 w:val="020B0502040204020203"/>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rPr>
        <w:rStyle w:val="791"/>
      </w:rPr>
      <w:framePr w:wrap="around" w:vAnchor="text" w:hAnchor="margin" w:xAlign="center" w:y="1"/>
    </w:pPr>
    <w:r>
      <w:fldChar w:fldCharType="begin"/>
    </w:r>
    <w:r>
      <w:rPr>
        <w:rStyle w:val="791"/>
      </w:rPr>
      <w:instrText xml:space="preserve">PAGE  </w:instrText>
    </w:r>
    <w:r>
      <w:fldChar w:fldCharType="separate"/>
    </w:r>
    <w:r>
      <w:rPr>
        <w:rStyle w:val="791"/>
      </w:rPr>
      <w:t xml:space="preserve">1</w:t>
    </w:r>
    <w:r>
      <w:fldChar w:fldCharType="end"/>
    </w:r>
    <w:r/>
  </w:p>
  <w:p>
    <w:pPr>
      <w:pStyle w:val="7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4200"/>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2" w:default="1">
    <w:name w:val="Normal"/>
    <w:next w:val="734"/>
    <w:uiPriority w:val="99"/>
    <w:qFormat/>
    <w:pPr>
      <w:jc w:val="both"/>
      <w:widowControl w:val="off"/>
    </w:pPr>
    <w:rPr>
      <w:rFonts w:ascii="Times New Roman" w:hAnsi="Times New Roman" w:eastAsia="宋体" w:cs="Times New Roman"/>
      <w:sz w:val="21"/>
      <w:lang w:val="en-US" w:eastAsia="zh-CN" w:bidi="ar-SA"/>
    </w:rPr>
  </w:style>
  <w:style w:type="paragraph" w:styleId="723">
    <w:name w:val="Heading 1"/>
    <w:basedOn w:val="722"/>
    <w:next w:val="722"/>
    <w:link w:val="946"/>
    <w:uiPriority w:val="0"/>
    <w:qFormat/>
    <w:pPr>
      <w:jc w:val="center"/>
      <w:spacing w:line="360" w:lineRule="auto"/>
      <w:tabs>
        <w:tab w:val="left" w:pos="1440" w:leader="none"/>
        <w:tab w:val="left" w:pos="5670" w:leader="none"/>
      </w:tabs>
      <w:outlineLvl w:val="0"/>
    </w:pPr>
    <w:rPr>
      <w:rFonts w:ascii="黑体" w:eastAsia="黑体"/>
      <w:b/>
      <w:sz w:val="44"/>
      <w:szCs w:val="44"/>
    </w:rPr>
  </w:style>
  <w:style w:type="paragraph" w:styleId="724">
    <w:name w:val="Heading 2"/>
    <w:basedOn w:val="722"/>
    <w:next w:val="735"/>
    <w:link w:val="947"/>
    <w:uiPriority w:val="0"/>
    <w:qFormat/>
    <w:pPr>
      <w:jc w:val="left"/>
      <w:spacing w:line="360" w:lineRule="auto"/>
      <w:outlineLvl w:val="1"/>
    </w:pPr>
    <w:rPr>
      <w:rFonts w:ascii="宋体" w:hAnsi="宋体" w:cstheme="majorBidi"/>
      <w:bCs/>
      <w:sz w:val="24"/>
      <w:szCs w:val="32"/>
      <w:lang w:val="zh-CN"/>
    </w:rPr>
  </w:style>
  <w:style w:type="paragraph" w:styleId="725">
    <w:name w:val="Heading 3"/>
    <w:basedOn w:val="722"/>
    <w:next w:val="722"/>
    <w:link w:val="1293"/>
    <w:uiPriority w:val="0"/>
    <w:qFormat/>
    <w:pPr>
      <w:keepLines/>
      <w:keepNext/>
      <w:spacing w:line="390" w:lineRule="atLeast"/>
      <w:shd w:val="clear" w:color="auto" w:fill="ffffff"/>
      <w:outlineLvl w:val="2"/>
    </w:pPr>
    <w:rPr>
      <w:rFonts w:ascii="宋体" w:hAnsi="宋体"/>
      <w:b/>
      <w:szCs w:val="21"/>
    </w:rPr>
  </w:style>
  <w:style w:type="paragraph" w:styleId="726">
    <w:name w:val="Heading 4"/>
    <w:basedOn w:val="722"/>
    <w:next w:val="735"/>
    <w:link w:val="950"/>
    <w:uiPriority w:val="0"/>
    <w:qFormat/>
    <w:pPr>
      <w:keepLines/>
      <w:keepNext/>
      <w:spacing w:before="120" w:after="120"/>
      <w:outlineLvl w:val="3"/>
    </w:pPr>
    <w:rPr>
      <w:rFonts w:ascii="Arial" w:hAnsi="Arial" w:eastAsia="黑体" w:cstheme="majorBidi"/>
      <w:b/>
      <w:sz w:val="28"/>
    </w:rPr>
  </w:style>
  <w:style w:type="paragraph" w:styleId="727">
    <w:name w:val="Heading 5"/>
    <w:basedOn w:val="722"/>
    <w:next w:val="735"/>
    <w:link w:val="951"/>
    <w:uiPriority w:val="0"/>
    <w:qFormat/>
    <w:pPr>
      <w:keepNext/>
      <w:outlineLvl w:val="4"/>
    </w:pPr>
    <w:rPr>
      <w:rFonts w:ascii="黑体" w:eastAsia="黑体"/>
      <w:b/>
      <w:color w:val="000000"/>
      <w:sz w:val="28"/>
    </w:rPr>
  </w:style>
  <w:style w:type="paragraph" w:styleId="728">
    <w:name w:val="Heading 6"/>
    <w:basedOn w:val="722"/>
    <w:next w:val="722"/>
    <w:link w:val="952"/>
    <w:uiPriority w:val="0"/>
    <w:qFormat/>
    <w:pPr>
      <w:keepLines/>
      <w:keepNext/>
      <w:spacing w:before="240" w:after="64" w:line="320" w:lineRule="auto"/>
      <w:outlineLvl w:val="5"/>
    </w:pPr>
    <w:rPr>
      <w:rFonts w:ascii="Arial" w:hAnsi="Arial" w:eastAsia="黑体" w:cstheme="majorBidi"/>
      <w:b/>
      <w:bCs/>
      <w:sz w:val="24"/>
      <w:szCs w:val="24"/>
    </w:rPr>
  </w:style>
  <w:style w:type="paragraph" w:styleId="729">
    <w:name w:val="Heading 7"/>
    <w:basedOn w:val="722"/>
    <w:next w:val="722"/>
    <w:link w:val="953"/>
    <w:uiPriority w:val="0"/>
    <w:qFormat/>
    <w:pPr>
      <w:keepLines/>
      <w:keepNext/>
      <w:spacing w:before="240" w:after="64" w:line="320" w:lineRule="auto"/>
      <w:outlineLvl w:val="6"/>
    </w:pPr>
    <w:rPr>
      <w:b/>
      <w:bCs/>
      <w:sz w:val="24"/>
      <w:szCs w:val="24"/>
    </w:rPr>
  </w:style>
  <w:style w:type="paragraph" w:styleId="730">
    <w:name w:val="Heading 8"/>
    <w:basedOn w:val="722"/>
    <w:next w:val="722"/>
    <w:link w:val="954"/>
    <w:uiPriority w:val="0"/>
    <w:qFormat/>
    <w:pPr>
      <w:keepLines/>
      <w:keepNext/>
      <w:spacing w:before="240" w:after="64" w:line="320" w:lineRule="auto"/>
      <w:outlineLvl w:val="7"/>
    </w:pPr>
    <w:rPr>
      <w:rFonts w:ascii="Arial" w:hAnsi="Arial" w:eastAsia="黑体" w:cstheme="majorBidi"/>
      <w:sz w:val="24"/>
      <w:szCs w:val="24"/>
    </w:rPr>
  </w:style>
  <w:style w:type="paragraph" w:styleId="731">
    <w:name w:val="Heading 9"/>
    <w:basedOn w:val="722"/>
    <w:next w:val="722"/>
    <w:link w:val="955"/>
    <w:uiPriority w:val="0"/>
    <w:qFormat/>
    <w:pPr>
      <w:keepLines/>
      <w:keepNext/>
      <w:spacing w:before="240" w:after="64" w:line="320" w:lineRule="auto"/>
      <w:outlineLvl w:val="8"/>
    </w:pPr>
    <w:rPr>
      <w:rFonts w:ascii="Arial" w:hAnsi="Arial" w:eastAsia="黑体" w:cstheme="majorBidi"/>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customStyle="1">
    <w:name w:val="索引 41"/>
    <w:basedOn w:val="722"/>
    <w:next w:val="722"/>
    <w:uiPriority w:val="0"/>
    <w:semiHidden/>
    <w:qFormat/>
    <w:pPr>
      <w:ind w:left="1260"/>
    </w:pPr>
    <w:rPr>
      <w:rFonts w:ascii="Calibri" w:hAnsi="Calibri" w:eastAsia="Calibri" w:cs="宋体"/>
      <w:sz w:val="20"/>
      <w:lang w:val="zh-CN"/>
    </w:rPr>
  </w:style>
  <w:style w:type="paragraph" w:styleId="735">
    <w:name w:val="Normal Indent"/>
    <w:basedOn w:val="722"/>
    <w:link w:val="948"/>
    <w:uiPriority w:val="0"/>
    <w:qFormat/>
    <w:pPr>
      <w:ind w:firstLine="420"/>
    </w:pPr>
  </w:style>
  <w:style w:type="paragraph" w:styleId="736">
    <w:name w:val="List 3"/>
    <w:basedOn w:val="722"/>
    <w:uiPriority w:val="99"/>
    <w:qFormat/>
    <w:pPr>
      <w:ind w:left="1260" w:hanging="420"/>
    </w:pPr>
  </w:style>
  <w:style w:type="paragraph" w:styleId="737">
    <w:name w:val="toc 7"/>
    <w:basedOn w:val="722"/>
    <w:next w:val="722"/>
    <w:uiPriority w:val="99"/>
    <w:semiHidden/>
    <w:qFormat/>
    <w:pPr>
      <w:ind w:left="1260"/>
      <w:jc w:val="left"/>
    </w:pPr>
    <w:rPr>
      <w:rFonts w:asciiTheme="minorHAnsi" w:hAnsiTheme="minorHAnsi" w:cstheme="minorHAnsi"/>
      <w:sz w:val="20"/>
    </w:rPr>
  </w:style>
  <w:style w:type="paragraph" w:styleId="738">
    <w:name w:val="List Number 2"/>
    <w:basedOn w:val="722"/>
    <w:uiPriority w:val="99"/>
    <w:qFormat/>
    <w:pPr>
      <w:ind w:left="1440" w:hanging="1440"/>
      <w:spacing w:line="360" w:lineRule="auto"/>
      <w:tabs>
        <w:tab w:val="left" w:pos="1440" w:leader="none"/>
      </w:tabs>
    </w:pPr>
    <w:rPr>
      <w:sz w:val="24"/>
      <w:szCs w:val="24"/>
    </w:rPr>
  </w:style>
  <w:style w:type="paragraph" w:styleId="739">
    <w:name w:val="index 8"/>
    <w:basedOn w:val="722"/>
    <w:next w:val="722"/>
    <w:uiPriority w:val="99"/>
    <w:semiHidden/>
    <w:qFormat/>
    <w:pPr>
      <w:ind w:left="2940"/>
    </w:pPr>
  </w:style>
  <w:style w:type="paragraph" w:styleId="740">
    <w:name w:val="List Number"/>
    <w:basedOn w:val="722"/>
    <w:uiPriority w:val="99"/>
    <w:qFormat/>
    <w:pPr>
      <w:ind w:left="2952" w:hanging="432"/>
      <w:tabs>
        <w:tab w:val="left" w:pos="2952" w:leader="none"/>
      </w:tabs>
    </w:pPr>
    <w:rPr>
      <w:szCs w:val="24"/>
    </w:rPr>
  </w:style>
  <w:style w:type="paragraph" w:styleId="741">
    <w:name w:val="Caption"/>
    <w:basedOn w:val="722"/>
    <w:next w:val="722"/>
    <w:uiPriority w:val="99"/>
    <w:semiHidden/>
    <w:unhideWhenUsed/>
    <w:qFormat/>
    <w:rPr>
      <w:rFonts w:eastAsia="黑体" w:asciiTheme="majorHAnsi" w:hAnsiTheme="majorHAnsi" w:cstheme="majorBidi"/>
      <w:sz w:val="20"/>
    </w:rPr>
  </w:style>
  <w:style w:type="paragraph" w:styleId="742">
    <w:name w:val="index 5"/>
    <w:basedOn w:val="722"/>
    <w:next w:val="722"/>
    <w:uiPriority w:val="99"/>
    <w:semiHidden/>
    <w:qFormat/>
    <w:pPr>
      <w:ind w:left="1680"/>
    </w:pPr>
  </w:style>
  <w:style w:type="paragraph" w:styleId="743">
    <w:name w:val="Document Map"/>
    <w:basedOn w:val="722"/>
    <w:link w:val="956"/>
    <w:uiPriority w:val="99"/>
    <w:semiHidden/>
    <w:qFormat/>
    <w:pPr>
      <w:shd w:val="clear" w:color="auto" w:fill="000080"/>
    </w:pPr>
  </w:style>
  <w:style w:type="paragraph" w:styleId="744">
    <w:name w:val="annotation text"/>
    <w:basedOn w:val="722"/>
    <w:link w:val="957"/>
    <w:uiPriority w:val="99"/>
    <w:qFormat/>
    <w:pPr>
      <w:jc w:val="left"/>
    </w:pPr>
  </w:style>
  <w:style w:type="paragraph" w:styleId="745">
    <w:name w:val="index 6"/>
    <w:basedOn w:val="722"/>
    <w:next w:val="722"/>
    <w:uiPriority w:val="99"/>
    <w:semiHidden/>
    <w:qFormat/>
    <w:pPr>
      <w:ind w:left="2100"/>
    </w:pPr>
  </w:style>
  <w:style w:type="paragraph" w:styleId="746">
    <w:name w:val="Salutation"/>
    <w:basedOn w:val="722"/>
    <w:next w:val="722"/>
    <w:link w:val="1299"/>
    <w:uiPriority w:val="99"/>
    <w:qFormat/>
    <w:rPr>
      <w:rFonts w:ascii="仿宋_GB2312" w:eastAsia="仿宋_GB2312"/>
      <w:sz w:val="28"/>
    </w:rPr>
  </w:style>
  <w:style w:type="paragraph" w:styleId="747">
    <w:name w:val="Body Text 3"/>
    <w:basedOn w:val="722"/>
    <w:link w:val="958"/>
    <w:uiPriority w:val="0"/>
    <w:qFormat/>
    <w:rPr>
      <w:rFonts w:ascii="仿宋_GB2312" w:hAnsi="Arial" w:eastAsia="仿宋_GB2312"/>
      <w:sz w:val="32"/>
    </w:rPr>
  </w:style>
  <w:style w:type="paragraph" w:styleId="748">
    <w:name w:val="Body Text"/>
    <w:basedOn w:val="722"/>
    <w:link w:val="959"/>
    <w:uiPriority w:val="0"/>
    <w:qFormat/>
    <w:rPr>
      <w:rFonts w:ascii="楷体_GB2312" w:hAnsi="Arial" w:eastAsia="楷体_GB2312"/>
      <w:sz w:val="28"/>
    </w:rPr>
  </w:style>
  <w:style w:type="paragraph" w:styleId="749">
    <w:name w:val="Body Text Indent"/>
    <w:basedOn w:val="722"/>
    <w:next w:val="750"/>
    <w:link w:val="944"/>
    <w:uiPriority w:val="0"/>
    <w:qFormat/>
    <w:pPr>
      <w:ind w:firstLine="645"/>
    </w:pPr>
    <w:rPr>
      <w:rFonts w:ascii="楷体_GB2312" w:eastAsia="楷体_GB2312"/>
      <w:sz w:val="32"/>
    </w:rPr>
  </w:style>
  <w:style w:type="paragraph" w:styleId="750">
    <w:name w:val="envelope return"/>
    <w:basedOn w:val="722"/>
    <w:uiPriority w:val="0"/>
    <w:qFormat/>
    <w:rPr>
      <w:rFonts w:ascii="Arial" w:hAnsi="Arial" w:cs="宋体"/>
    </w:rPr>
  </w:style>
  <w:style w:type="paragraph" w:styleId="751">
    <w:name w:val="List 2"/>
    <w:basedOn w:val="722"/>
    <w:uiPriority w:val="0"/>
    <w:qFormat/>
    <w:pPr>
      <w:ind w:left="100" w:hanging="200"/>
    </w:pPr>
  </w:style>
  <w:style w:type="paragraph" w:styleId="752">
    <w:name w:val="Block Text"/>
    <w:basedOn w:val="722"/>
    <w:uiPriority w:val="0"/>
    <w:qFormat/>
    <w:pPr>
      <w:ind w:left="1440" w:right="1440"/>
      <w:spacing w:after="120"/>
    </w:pPr>
  </w:style>
  <w:style w:type="paragraph" w:styleId="753">
    <w:name w:val="index 4"/>
    <w:basedOn w:val="722"/>
    <w:next w:val="722"/>
    <w:uiPriority w:val="99"/>
    <w:semiHidden/>
    <w:qFormat/>
    <w:pPr>
      <w:ind w:left="1260"/>
    </w:pPr>
  </w:style>
  <w:style w:type="paragraph" w:styleId="754">
    <w:name w:val="toc 5"/>
    <w:basedOn w:val="722"/>
    <w:next w:val="722"/>
    <w:uiPriority w:val="99"/>
    <w:semiHidden/>
    <w:qFormat/>
    <w:pPr>
      <w:ind w:left="840"/>
      <w:jc w:val="left"/>
    </w:pPr>
    <w:rPr>
      <w:rFonts w:asciiTheme="minorHAnsi" w:hAnsiTheme="minorHAnsi" w:cstheme="minorHAnsi"/>
      <w:sz w:val="20"/>
    </w:rPr>
  </w:style>
  <w:style w:type="paragraph" w:styleId="755">
    <w:name w:val="toc 3"/>
    <w:basedOn w:val="722"/>
    <w:next w:val="722"/>
    <w:uiPriority w:val="39"/>
    <w:qFormat/>
    <w:pPr>
      <w:ind w:left="420"/>
      <w:jc w:val="left"/>
    </w:pPr>
    <w:rPr>
      <w:rFonts w:asciiTheme="minorHAnsi" w:hAnsiTheme="minorHAnsi" w:cstheme="minorHAnsi"/>
      <w:sz w:val="20"/>
    </w:rPr>
  </w:style>
  <w:style w:type="paragraph" w:styleId="756">
    <w:name w:val="Plain Text"/>
    <w:basedOn w:val="722"/>
    <w:link w:val="960"/>
    <w:uiPriority w:val="99"/>
    <w:qFormat/>
    <w:rPr>
      <w:rFonts w:ascii="宋体" w:hAnsi="Courier New" w:cs="Courier New"/>
    </w:rPr>
  </w:style>
  <w:style w:type="paragraph" w:styleId="757">
    <w:name w:val="toc 8"/>
    <w:basedOn w:val="722"/>
    <w:next w:val="722"/>
    <w:uiPriority w:val="99"/>
    <w:semiHidden/>
    <w:qFormat/>
    <w:pPr>
      <w:ind w:left="1470"/>
      <w:jc w:val="left"/>
    </w:pPr>
    <w:rPr>
      <w:rFonts w:asciiTheme="minorHAnsi" w:hAnsiTheme="minorHAnsi" w:cstheme="minorHAnsi"/>
      <w:sz w:val="20"/>
    </w:rPr>
  </w:style>
  <w:style w:type="paragraph" w:styleId="758">
    <w:name w:val="index 3"/>
    <w:basedOn w:val="722"/>
    <w:next w:val="722"/>
    <w:uiPriority w:val="99"/>
    <w:semiHidden/>
    <w:qFormat/>
    <w:pPr>
      <w:ind w:left="840"/>
    </w:pPr>
  </w:style>
  <w:style w:type="paragraph" w:styleId="759">
    <w:name w:val="Date"/>
    <w:basedOn w:val="722"/>
    <w:next w:val="722"/>
    <w:link w:val="961"/>
    <w:uiPriority w:val="99"/>
    <w:qFormat/>
    <w:pPr>
      <w:ind w:left="100"/>
    </w:pPr>
    <w:rPr>
      <w:sz w:val="28"/>
    </w:rPr>
  </w:style>
  <w:style w:type="paragraph" w:styleId="760">
    <w:name w:val="Body Text Indent 2"/>
    <w:basedOn w:val="722"/>
    <w:link w:val="962"/>
    <w:uiPriority w:val="0"/>
    <w:qFormat/>
    <w:pPr>
      <w:ind w:left="630" w:firstLine="645"/>
    </w:pPr>
    <w:rPr>
      <w:rFonts w:ascii="Arial" w:hAnsi="Arial" w:eastAsia="仿宋_GB2312" w:cs="Arial"/>
      <w:sz w:val="32"/>
    </w:rPr>
  </w:style>
  <w:style w:type="paragraph" w:styleId="761">
    <w:name w:val="endnote text"/>
    <w:basedOn w:val="722"/>
    <w:link w:val="1295"/>
    <w:uiPriority w:val="99"/>
    <w:qFormat/>
    <w:pPr>
      <w:jc w:val="left"/>
    </w:pPr>
    <w:rPr>
      <w:sz w:val="20"/>
      <w:szCs w:val="24"/>
    </w:rPr>
  </w:style>
  <w:style w:type="paragraph" w:styleId="762">
    <w:name w:val="Balloon Text"/>
    <w:basedOn w:val="722"/>
    <w:link w:val="963"/>
    <w:uiPriority w:val="99"/>
    <w:semiHidden/>
    <w:qFormat/>
    <w:rPr>
      <w:sz w:val="18"/>
      <w:szCs w:val="18"/>
    </w:rPr>
  </w:style>
  <w:style w:type="paragraph" w:styleId="763">
    <w:name w:val="Footer"/>
    <w:basedOn w:val="722"/>
    <w:link w:val="964"/>
    <w:uiPriority w:val="99"/>
    <w:qFormat/>
    <w:pPr>
      <w:jc w:val="left"/>
      <w:tabs>
        <w:tab w:val="center" w:pos="4153" w:leader="none"/>
        <w:tab w:val="right" w:pos="8306" w:leader="none"/>
      </w:tabs>
    </w:pPr>
    <w:rPr>
      <w:sz w:val="18"/>
    </w:rPr>
  </w:style>
  <w:style w:type="paragraph" w:styleId="764">
    <w:name w:val="Header"/>
    <w:basedOn w:val="722"/>
    <w:link w:val="965"/>
    <w:uiPriority w:val="99"/>
    <w:qFormat/>
    <w:pPr>
      <w:jc w:val="center"/>
      <w:tabs>
        <w:tab w:val="center" w:pos="4153" w:leader="none"/>
        <w:tab w:val="right" w:pos="8306" w:leader="none"/>
      </w:tabs>
      <w:pBdr>
        <w:bottom w:val="single" w:color="auto" w:sz="6" w:space="1"/>
      </w:pBdr>
    </w:pPr>
    <w:rPr>
      <w:sz w:val="18"/>
    </w:rPr>
  </w:style>
  <w:style w:type="paragraph" w:styleId="765">
    <w:name w:val="Signature"/>
    <w:basedOn w:val="722"/>
    <w:link w:val="1297"/>
    <w:uiPriority w:val="99"/>
    <w:qFormat/>
    <w:pPr>
      <w:jc w:val="center"/>
      <w:spacing w:after="600" w:line="312" w:lineRule="atLeast"/>
    </w:pPr>
    <w:rPr>
      <w:rFonts w:eastAsia="仿宋_GB2312"/>
      <w:sz w:val="24"/>
    </w:rPr>
  </w:style>
  <w:style w:type="paragraph" w:styleId="766">
    <w:name w:val="toc 1"/>
    <w:basedOn w:val="722"/>
    <w:next w:val="722"/>
    <w:uiPriority w:val="39"/>
    <w:qFormat/>
    <w:pPr>
      <w:jc w:val="left"/>
      <w:spacing w:before="240" w:after="120"/>
    </w:pPr>
    <w:rPr>
      <w:rFonts w:asciiTheme="minorHAnsi" w:hAnsiTheme="minorHAnsi" w:cstheme="minorHAnsi"/>
      <w:b/>
      <w:bCs/>
      <w:sz w:val="20"/>
    </w:rPr>
  </w:style>
  <w:style w:type="paragraph" w:styleId="767">
    <w:name w:val="toc 4"/>
    <w:basedOn w:val="722"/>
    <w:next w:val="722"/>
    <w:uiPriority w:val="99"/>
    <w:semiHidden/>
    <w:qFormat/>
    <w:pPr>
      <w:ind w:left="630"/>
      <w:jc w:val="left"/>
    </w:pPr>
    <w:rPr>
      <w:rFonts w:asciiTheme="minorHAnsi" w:hAnsiTheme="minorHAnsi" w:cstheme="minorHAnsi"/>
      <w:sz w:val="20"/>
    </w:rPr>
  </w:style>
  <w:style w:type="paragraph" w:styleId="768">
    <w:name w:val="index heading"/>
    <w:basedOn w:val="722"/>
    <w:next w:val="769"/>
    <w:uiPriority w:val="99"/>
    <w:semiHidden/>
    <w:qFormat/>
  </w:style>
  <w:style w:type="paragraph" w:styleId="769">
    <w:name w:val="index 1"/>
    <w:basedOn w:val="722"/>
    <w:next w:val="722"/>
    <w:uiPriority w:val="99"/>
    <w:semiHidden/>
    <w:qFormat/>
    <w:rPr>
      <w:rFonts w:ascii="仿宋_GB2312" w:hAnsi="宋体" w:eastAsia="仿宋_GB2312"/>
      <w:sz w:val="30"/>
      <w:szCs w:val="24"/>
    </w:rPr>
  </w:style>
  <w:style w:type="paragraph" w:styleId="770">
    <w:name w:val="Subtitle"/>
    <w:basedOn w:val="722"/>
    <w:next w:val="722"/>
    <w:link w:val="1298"/>
    <w:uiPriority w:val="99"/>
    <w:qFormat/>
    <w:pPr>
      <w:jc w:val="left"/>
      <w:spacing w:after="600" w:line="276" w:lineRule="auto"/>
      <w:widowControl/>
    </w:pPr>
    <w:rPr>
      <w:rFonts w:ascii="Cambria" w:hAnsi="Cambria" w:cstheme="majorBidi"/>
      <w:i/>
      <w:iCs/>
      <w:spacing w:val="13"/>
      <w:sz w:val="24"/>
      <w:szCs w:val="24"/>
      <w:lang w:eastAsia="en-US" w:bidi="en-US"/>
    </w:rPr>
  </w:style>
  <w:style w:type="paragraph" w:styleId="771">
    <w:name w:val="List"/>
    <w:basedOn w:val="722"/>
    <w:uiPriority w:val="0"/>
    <w:qFormat/>
    <w:pPr>
      <w:ind w:left="200" w:hanging="200"/>
    </w:pPr>
  </w:style>
  <w:style w:type="paragraph" w:styleId="772">
    <w:name w:val="footnote text"/>
    <w:basedOn w:val="722"/>
    <w:link w:val="1294"/>
    <w:uiPriority w:val="99"/>
    <w:qFormat/>
    <w:pPr>
      <w:jc w:val="left"/>
    </w:pPr>
    <w:rPr>
      <w:sz w:val="18"/>
      <w:szCs w:val="18"/>
    </w:rPr>
  </w:style>
  <w:style w:type="paragraph" w:styleId="773">
    <w:name w:val="toc 6"/>
    <w:basedOn w:val="722"/>
    <w:next w:val="722"/>
    <w:uiPriority w:val="99"/>
    <w:semiHidden/>
    <w:qFormat/>
    <w:pPr>
      <w:ind w:left="1050"/>
      <w:jc w:val="left"/>
    </w:pPr>
    <w:rPr>
      <w:rFonts w:asciiTheme="minorHAnsi" w:hAnsiTheme="minorHAnsi" w:cstheme="minorHAnsi"/>
      <w:sz w:val="20"/>
    </w:rPr>
  </w:style>
  <w:style w:type="paragraph" w:styleId="774">
    <w:name w:val="Body Text Indent 3"/>
    <w:basedOn w:val="722"/>
    <w:link w:val="966"/>
    <w:uiPriority w:val="0"/>
    <w:qFormat/>
    <w:pPr>
      <w:ind w:left="645" w:firstLine="645"/>
    </w:pPr>
    <w:rPr>
      <w:rFonts w:ascii="Arial" w:hAnsi="Arial" w:eastAsia="仿宋_GB2312" w:cs="Arial"/>
      <w:color w:val="ffff00"/>
      <w:sz w:val="32"/>
    </w:rPr>
  </w:style>
  <w:style w:type="paragraph" w:styleId="775">
    <w:name w:val="index 7"/>
    <w:basedOn w:val="722"/>
    <w:next w:val="722"/>
    <w:uiPriority w:val="99"/>
    <w:semiHidden/>
    <w:qFormat/>
    <w:pPr>
      <w:ind w:left="2520"/>
    </w:pPr>
  </w:style>
  <w:style w:type="paragraph" w:styleId="776">
    <w:name w:val="index 9"/>
    <w:basedOn w:val="722"/>
    <w:next w:val="722"/>
    <w:uiPriority w:val="99"/>
    <w:semiHidden/>
    <w:qFormat/>
    <w:pPr>
      <w:ind w:left="3360"/>
    </w:pPr>
  </w:style>
  <w:style w:type="paragraph" w:styleId="777">
    <w:name w:val="table of figures"/>
    <w:basedOn w:val="722"/>
    <w:next w:val="722"/>
    <w:uiPriority w:val="99"/>
    <w:semiHidden/>
    <w:qFormat/>
    <w:pPr>
      <w:ind w:left="840" w:hanging="420"/>
    </w:pPr>
  </w:style>
  <w:style w:type="paragraph" w:styleId="778">
    <w:name w:val="toc 2"/>
    <w:basedOn w:val="722"/>
    <w:next w:val="722"/>
    <w:uiPriority w:val="39"/>
    <w:qFormat/>
    <w:pPr>
      <w:ind w:left="210"/>
      <w:jc w:val="left"/>
      <w:spacing w:before="120"/>
    </w:pPr>
    <w:rPr>
      <w:rFonts w:asciiTheme="minorHAnsi" w:hAnsiTheme="minorHAnsi" w:cstheme="minorHAnsi"/>
      <w:i/>
      <w:iCs/>
      <w:sz w:val="20"/>
    </w:rPr>
  </w:style>
  <w:style w:type="paragraph" w:styleId="779">
    <w:name w:val="toc 9"/>
    <w:basedOn w:val="722"/>
    <w:next w:val="722"/>
    <w:uiPriority w:val="99"/>
    <w:semiHidden/>
    <w:qFormat/>
    <w:pPr>
      <w:ind w:left="1680"/>
      <w:jc w:val="left"/>
    </w:pPr>
    <w:rPr>
      <w:rFonts w:asciiTheme="minorHAnsi" w:hAnsiTheme="minorHAnsi" w:cstheme="minorHAnsi"/>
      <w:sz w:val="20"/>
    </w:rPr>
  </w:style>
  <w:style w:type="paragraph" w:styleId="780">
    <w:name w:val="Body Text 2"/>
    <w:basedOn w:val="722"/>
    <w:link w:val="967"/>
    <w:uiPriority w:val="0"/>
    <w:qFormat/>
    <w:pPr>
      <w:jc w:val="center"/>
      <w:widowControl/>
    </w:pPr>
    <w:rPr>
      <w:rFonts w:ascii="楷体_GB2312" w:eastAsia="楷体_GB2312"/>
      <w:sz w:val="28"/>
    </w:rPr>
  </w:style>
  <w:style w:type="paragraph" w:styleId="781">
    <w:name w:val="HTML Preformatted"/>
    <w:basedOn w:val="722"/>
    <w:link w:val="13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82">
    <w:name w:val="Normal (Web)"/>
    <w:basedOn w:val="722"/>
    <w:uiPriority w:val="99"/>
    <w:qFormat/>
    <w:pPr>
      <w:jc w:val="left"/>
      <w:spacing w:before="100" w:beforeAutospacing="1" w:after="100" w:afterAutospacing="1"/>
      <w:widowControl/>
    </w:pPr>
    <w:rPr>
      <w:rFonts w:ascii="Arial" w:hAnsi="Arial" w:eastAsia="Arial Unicode MS" w:cs="Arial"/>
      <w:sz w:val="24"/>
      <w:szCs w:val="24"/>
    </w:rPr>
  </w:style>
  <w:style w:type="paragraph" w:styleId="783">
    <w:name w:val="index 2"/>
    <w:basedOn w:val="722"/>
    <w:next w:val="722"/>
    <w:uiPriority w:val="99"/>
    <w:semiHidden/>
    <w:qFormat/>
    <w:pPr>
      <w:ind w:left="420"/>
    </w:pPr>
  </w:style>
  <w:style w:type="paragraph" w:styleId="784">
    <w:name w:val="Title"/>
    <w:basedOn w:val="722"/>
    <w:link w:val="1296"/>
    <w:uiPriority w:val="0"/>
    <w:qFormat/>
    <w:pPr>
      <w:jc w:val="center"/>
      <w:spacing w:line="420" w:lineRule="exact"/>
      <w:widowControl/>
    </w:pPr>
    <w:rPr>
      <w:rFonts w:eastAsia="黑体" w:cstheme="majorBidi"/>
      <w:b/>
      <w:sz w:val="28"/>
      <w:lang w:val="en-GB"/>
    </w:rPr>
  </w:style>
  <w:style w:type="paragraph" w:styleId="785">
    <w:name w:val="annotation subject"/>
    <w:basedOn w:val="744"/>
    <w:next w:val="744"/>
    <w:link w:val="968"/>
    <w:uiPriority w:val="99"/>
    <w:semiHidden/>
    <w:qFormat/>
    <w:rPr>
      <w:b/>
      <w:bCs/>
    </w:rPr>
  </w:style>
  <w:style w:type="paragraph" w:styleId="786">
    <w:name w:val="Body Text First Indent"/>
    <w:basedOn w:val="748"/>
    <w:link w:val="969"/>
    <w:uiPriority w:val="0"/>
    <w:qFormat/>
    <w:pPr>
      <w:ind w:firstLine="420"/>
      <w:spacing w:after="120"/>
    </w:pPr>
    <w:rPr>
      <w:rFonts w:ascii="Times New Roman" w:hAnsi="Times New Roman" w:eastAsia="宋体"/>
      <w:sz w:val="21"/>
      <w:szCs w:val="24"/>
    </w:rPr>
  </w:style>
  <w:style w:type="paragraph" w:styleId="787">
    <w:name w:val="Body Text First Indent 2"/>
    <w:basedOn w:val="749"/>
    <w:next w:val="722"/>
    <w:link w:val="945"/>
    <w:uiPriority w:val="0"/>
    <w:qFormat/>
    <w:pPr>
      <w:ind w:firstLine="420"/>
      <w:spacing w:line="360" w:lineRule="auto"/>
    </w:pPr>
    <w:rPr>
      <w:rFonts w:ascii="宋体" w:hAnsi="宋体" w:eastAsia="宋体"/>
      <w:sz w:val="21"/>
    </w:rPr>
  </w:style>
  <w:style w:type="table" w:styleId="788">
    <w:name w:val="Table Grid"/>
    <w:basedOn w:val="73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uiPriority w:val="22"/>
    <w:qFormat/>
    <w:rPr>
      <w:b/>
      <w:bCs/>
    </w:rPr>
  </w:style>
  <w:style w:type="character" w:styleId="790">
    <w:name w:val="endnote reference"/>
    <w:uiPriority w:val="99"/>
    <w:qFormat/>
    <w:rPr>
      <w:vertAlign w:val="superscript"/>
    </w:rPr>
  </w:style>
  <w:style w:type="character" w:styleId="791">
    <w:name w:val="page number"/>
    <w:basedOn w:val="732"/>
    <w:uiPriority w:val="99"/>
    <w:qFormat/>
  </w:style>
  <w:style w:type="character" w:styleId="792">
    <w:name w:val="FollowedHyperlink"/>
    <w:uiPriority w:val="99"/>
    <w:qFormat/>
    <w:rPr>
      <w:color w:val="800080"/>
      <w:u w:val="single"/>
    </w:rPr>
  </w:style>
  <w:style w:type="character" w:styleId="793">
    <w:name w:val="Emphasis"/>
    <w:uiPriority w:val="99"/>
    <w:qFormat/>
    <w:rPr>
      <w:b/>
      <w:bCs/>
      <w:i/>
      <w:iCs/>
      <w:spacing w:val="10"/>
      <w:shd w:val="clear" w:color="auto" w:fill="auto"/>
    </w:rPr>
  </w:style>
  <w:style w:type="character" w:styleId="794">
    <w:name w:val="line number"/>
    <w:basedOn w:val="732"/>
    <w:uiPriority w:val="99"/>
    <w:qFormat/>
  </w:style>
  <w:style w:type="character" w:styleId="795">
    <w:name w:val="HTML Typewriter"/>
    <w:uiPriority w:val="99"/>
    <w:qFormat/>
    <w:rPr>
      <w:rFonts w:ascii="宋体" w:hAnsi="宋体" w:eastAsia="宋体" w:cs="宋体"/>
      <w:sz w:val="24"/>
      <w:szCs w:val="24"/>
    </w:rPr>
  </w:style>
  <w:style w:type="character" w:styleId="796">
    <w:name w:val="Hyperlink"/>
    <w:uiPriority w:val="99"/>
    <w:qFormat/>
    <w:rPr>
      <w:color w:val="0000ff"/>
      <w:u w:val="single"/>
    </w:rPr>
  </w:style>
  <w:style w:type="character" w:styleId="797">
    <w:name w:val="annotation reference"/>
    <w:uiPriority w:val="99"/>
    <w:qFormat/>
    <w:rPr>
      <w:sz w:val="21"/>
    </w:rPr>
  </w:style>
  <w:style w:type="character" w:styleId="798">
    <w:name w:val="footnote reference"/>
    <w:uiPriority w:val="99"/>
    <w:qFormat/>
    <w:rPr>
      <w:vertAlign w:val="superscript"/>
    </w:rPr>
  </w:style>
  <w:style w:type="character" w:styleId="799">
    <w:name w:val="HTML Sample"/>
    <w:uiPriority w:val="99"/>
    <w:qFormat/>
    <w:rPr>
      <w:rFonts w:ascii="Courier New" w:hAnsi="宋体" w:eastAsia="宋体" w:cs="Courier New"/>
    </w:rPr>
  </w:style>
  <w:style w:type="character" w:styleId="800" w:customStyle="1">
    <w:name w:val="Heading 1 Char"/>
    <w:basedOn w:val="732"/>
    <w:uiPriority w:val="9"/>
    <w:qFormat/>
    <w:rPr>
      <w:rFonts w:ascii="Arial" w:hAnsi="Arial" w:eastAsia="Arial" w:cs="Arial"/>
      <w:sz w:val="40"/>
      <w:szCs w:val="40"/>
    </w:rPr>
  </w:style>
  <w:style w:type="character" w:styleId="801" w:customStyle="1">
    <w:name w:val="Heading 2 Char"/>
    <w:basedOn w:val="732"/>
    <w:uiPriority w:val="9"/>
    <w:qFormat/>
    <w:rPr>
      <w:rFonts w:ascii="Arial" w:hAnsi="Arial" w:eastAsia="Arial" w:cs="Arial"/>
      <w:sz w:val="34"/>
    </w:rPr>
  </w:style>
  <w:style w:type="character" w:styleId="802" w:customStyle="1">
    <w:name w:val="Heading 3 Char"/>
    <w:basedOn w:val="732"/>
    <w:uiPriority w:val="9"/>
    <w:qFormat/>
    <w:rPr>
      <w:rFonts w:ascii="Arial" w:hAnsi="Arial" w:eastAsia="Arial" w:cs="Arial"/>
      <w:sz w:val="30"/>
      <w:szCs w:val="30"/>
    </w:rPr>
  </w:style>
  <w:style w:type="character" w:styleId="803" w:customStyle="1">
    <w:name w:val="Heading 4 Char"/>
    <w:basedOn w:val="732"/>
    <w:uiPriority w:val="9"/>
    <w:qFormat/>
    <w:rPr>
      <w:rFonts w:ascii="Arial" w:hAnsi="Arial" w:eastAsia="Arial" w:cs="Arial"/>
      <w:b/>
      <w:bCs/>
      <w:sz w:val="26"/>
      <w:szCs w:val="26"/>
    </w:rPr>
  </w:style>
  <w:style w:type="character" w:styleId="804" w:customStyle="1">
    <w:name w:val="Heading 5 Char"/>
    <w:basedOn w:val="732"/>
    <w:uiPriority w:val="9"/>
    <w:qFormat/>
    <w:rPr>
      <w:rFonts w:ascii="Arial" w:hAnsi="Arial" w:eastAsia="Arial" w:cs="Arial"/>
      <w:b/>
      <w:bCs/>
      <w:sz w:val="24"/>
      <w:szCs w:val="24"/>
    </w:rPr>
  </w:style>
  <w:style w:type="character" w:styleId="805" w:customStyle="1">
    <w:name w:val="Heading 6 Char"/>
    <w:basedOn w:val="732"/>
    <w:uiPriority w:val="9"/>
    <w:qFormat/>
    <w:rPr>
      <w:rFonts w:ascii="Arial" w:hAnsi="Arial" w:eastAsia="Arial" w:cs="Arial"/>
      <w:b/>
      <w:bCs/>
      <w:sz w:val="22"/>
      <w:szCs w:val="22"/>
    </w:rPr>
  </w:style>
  <w:style w:type="character" w:styleId="806" w:customStyle="1">
    <w:name w:val="Heading 7 Char"/>
    <w:basedOn w:val="732"/>
    <w:uiPriority w:val="9"/>
    <w:qFormat/>
    <w:rPr>
      <w:rFonts w:ascii="Arial" w:hAnsi="Arial" w:eastAsia="Arial" w:cs="Arial"/>
      <w:b/>
      <w:bCs/>
      <w:i/>
      <w:iCs/>
      <w:sz w:val="22"/>
      <w:szCs w:val="22"/>
    </w:rPr>
  </w:style>
  <w:style w:type="character" w:styleId="807" w:customStyle="1">
    <w:name w:val="Heading 8 Char"/>
    <w:basedOn w:val="732"/>
    <w:uiPriority w:val="9"/>
    <w:qFormat/>
    <w:rPr>
      <w:rFonts w:ascii="Arial" w:hAnsi="Arial" w:eastAsia="Arial" w:cs="Arial"/>
      <w:i/>
      <w:iCs/>
      <w:sz w:val="22"/>
      <w:szCs w:val="22"/>
    </w:rPr>
  </w:style>
  <w:style w:type="character" w:styleId="808" w:customStyle="1">
    <w:name w:val="Heading 9 Char"/>
    <w:basedOn w:val="732"/>
    <w:uiPriority w:val="9"/>
    <w:qFormat/>
    <w:rPr>
      <w:rFonts w:ascii="Arial" w:hAnsi="Arial" w:eastAsia="Arial" w:cs="Arial"/>
      <w:i/>
      <w:iCs/>
      <w:sz w:val="21"/>
      <w:szCs w:val="21"/>
    </w:rPr>
  </w:style>
  <w:style w:type="character" w:styleId="809" w:customStyle="1">
    <w:name w:val="Title Char"/>
    <w:basedOn w:val="732"/>
    <w:uiPriority w:val="10"/>
    <w:qFormat/>
    <w:rPr>
      <w:sz w:val="48"/>
      <w:szCs w:val="48"/>
    </w:rPr>
  </w:style>
  <w:style w:type="character" w:styleId="810" w:customStyle="1">
    <w:name w:val="Subtitle Char"/>
    <w:basedOn w:val="732"/>
    <w:uiPriority w:val="11"/>
    <w:qFormat/>
    <w:rPr>
      <w:sz w:val="24"/>
      <w:szCs w:val="24"/>
    </w:rPr>
  </w:style>
  <w:style w:type="character" w:styleId="811" w:customStyle="1">
    <w:name w:val="Quote Char"/>
    <w:uiPriority w:val="29"/>
    <w:qFormat/>
    <w:rPr>
      <w:i/>
    </w:rPr>
  </w:style>
  <w:style w:type="character" w:styleId="812" w:customStyle="1">
    <w:name w:val="Intense Quote Char"/>
    <w:uiPriority w:val="30"/>
    <w:qFormat/>
    <w:rPr>
      <w:i/>
    </w:rPr>
  </w:style>
  <w:style w:type="character" w:styleId="813" w:customStyle="1">
    <w:name w:val="Header Char"/>
    <w:basedOn w:val="732"/>
    <w:uiPriority w:val="99"/>
    <w:qFormat/>
  </w:style>
  <w:style w:type="character" w:styleId="814" w:customStyle="1">
    <w:name w:val="Footer Char"/>
    <w:basedOn w:val="732"/>
    <w:uiPriority w:val="99"/>
    <w:qFormat/>
  </w:style>
  <w:style w:type="character" w:styleId="815" w:customStyle="1">
    <w:name w:val="Caption Char"/>
    <w:uiPriority w:val="99"/>
    <w:qFormat/>
  </w:style>
  <w:style w:type="table" w:styleId="816" w:customStyle="1">
    <w:name w:val="Table Grid Light"/>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7" w:customStyle="1">
    <w:name w:val="无格式表格 11"/>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3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无格式表格 4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无格式表格 5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网格表 1 浅色1"/>
    <w:basedOn w:val="7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1"/>
    <w:basedOn w:val="7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2"/>
    <w:basedOn w:val="7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5"/>
    <w:basedOn w:val="7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2 - Accent 1"/>
    <w:basedOn w:val="7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1" w:customStyle="1">
    <w:name w:val="Grid Table 2 - Accent 2"/>
    <w:basedOn w:val="7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2 - Accent 3"/>
    <w:basedOn w:val="7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2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2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Grid Table 2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网格表 3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1"/>
    <w:basedOn w:val="7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7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4 - Accent 1"/>
    <w:basedOn w:val="7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5" w:customStyle="1">
    <w:name w:val="Grid Table 4 - Accent 2"/>
    <w:basedOn w:val="73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6" w:customStyle="1">
    <w:name w:val="Grid Table 4 - Accent 3"/>
    <w:basedOn w:val="7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7" w:customStyle="1">
    <w:name w:val="Grid Table 4 - Accent 4"/>
    <w:basedOn w:val="7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8" w:customStyle="1">
    <w:name w:val="Grid Table 4 - Accent 5"/>
    <w:basedOn w:val="7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9" w:customStyle="1">
    <w:name w:val="Grid Table 4 - Accent 6"/>
    <w:basedOn w:val="7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0"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网格表 6 彩色1"/>
    <w:basedOn w:val="7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6 Colorful - Accent 1"/>
    <w:basedOn w:val="7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9" w:customStyle="1">
    <w:name w:val="Grid Table 6 Colorful - Accent 2"/>
    <w:basedOn w:val="7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Grid Table 6 Colorful - Accent 3"/>
    <w:basedOn w:val="73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1" w:customStyle="1">
    <w:name w:val="Grid Table 6 Colorful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2" w:customStyle="1">
    <w:name w:val="Grid Table 6 Colorful - Accent 5"/>
    <w:basedOn w:val="7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6 Colorful - Accent 6"/>
    <w:basedOn w:val="7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网格表 7 彩色1"/>
    <w:basedOn w:val="7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Grid Table 7 Colorful - Accent 1"/>
    <w:basedOn w:val="7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basedOn w:val="73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basedOn w:val="73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basedOn w:val="7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basedOn w:val="7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basedOn w:val="7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清单表 1 浅色1"/>
    <w:basedOn w:val="73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1 Light - Accent 1"/>
    <w:basedOn w:val="7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3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3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3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8" w:customStyle="1">
    <w:name w:val="清单表 21"/>
    <w:basedOn w:val="7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2 - Accent 1"/>
    <w:basedOn w:val="7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basedOn w:val="73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basedOn w:val="7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basedOn w:val="7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basedOn w:val="7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basedOn w:val="7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3 - Accent 1"/>
    <w:basedOn w:val="7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
    <w:basedOn w:val="7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
    <w:basedOn w:val="73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
    <w:basedOn w:val="7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
    <w:basedOn w:val="7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4 - Accent 1"/>
    <w:basedOn w:val="7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basedOn w:val="73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basedOn w:val="7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basedOn w:val="7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basedOn w:val="7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basedOn w:val="7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清单表 5 深色1"/>
    <w:basedOn w:val="7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1"/>
    <w:basedOn w:val="7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3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3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basedOn w:val="73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List Table 6 Colorful - Accent 1"/>
    <w:basedOn w:val="73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8" w:customStyle="1">
    <w:name w:val="List Table 6 Colorful - Accent 2"/>
    <w:basedOn w:val="73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9" w:customStyle="1">
    <w:name w:val="List Table 6 Colorful - Accent 3"/>
    <w:basedOn w:val="73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0" w:customStyle="1">
    <w:name w:val="List Table 6 Colorful - Accent 4"/>
    <w:basedOn w:val="73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1" w:customStyle="1">
    <w:name w:val="List Table 6 Colorful - Accent 5"/>
    <w:basedOn w:val="73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2" w:customStyle="1">
    <w:name w:val="List Table 6 Colorful - Accent 6"/>
    <w:basedOn w:val="73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3" w:customStyle="1">
    <w:name w:val="清单表 7 彩色1"/>
    <w:basedOn w:val="73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List Table 7 Colorful - Accent 1"/>
    <w:basedOn w:val="73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3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3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3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3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3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basedOn w:val="7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3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basedOn w:val="73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basedOn w:val="73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basedOn w:val="7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basedOn w:val="7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basedOn w:val="7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basedOn w:val="7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basedOn w:val="7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basedOn w:val="7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Footnote Text Char"/>
    <w:uiPriority w:val="99"/>
    <w:qFormat/>
    <w:rPr>
      <w:sz w:val="18"/>
    </w:rPr>
  </w:style>
  <w:style w:type="character" w:styleId="942" w:customStyle="1">
    <w:name w:val="Endnote Text Char"/>
    <w:uiPriority w:val="99"/>
    <w:qFormat/>
    <w:rPr>
      <w:sz w:val="20"/>
    </w:rPr>
  </w:style>
  <w:style w:type="paragraph" w:styleId="943" w:customStyle="1">
    <w:name w:val="TOC 标题1"/>
    <w:uiPriority w:val="39"/>
    <w:unhideWhenUsed/>
    <w:qFormat/>
    <w:rPr>
      <w:rFonts w:ascii="Times New Roman" w:hAnsi="Times New Roman" w:eastAsia="宋体" w:cs="Times New Roman"/>
      <w:lang w:val="en-US" w:eastAsia="zh-CN" w:bidi="ar-SA"/>
    </w:rPr>
  </w:style>
  <w:style w:type="character" w:styleId="944" w:customStyle="1">
    <w:name w:val="正文文本缩进 字符"/>
    <w:link w:val="749"/>
    <w:uiPriority w:val="0"/>
    <w:qFormat/>
    <w:rPr>
      <w:rFonts w:ascii="楷体_GB2312" w:eastAsia="楷体_GB2312"/>
      <w:sz w:val="32"/>
    </w:rPr>
  </w:style>
  <w:style w:type="character" w:styleId="945" w:customStyle="1">
    <w:name w:val="正文首行缩进 2 字符"/>
    <w:link w:val="787"/>
    <w:uiPriority w:val="0"/>
    <w:qFormat/>
    <w:rPr>
      <w:rFonts w:ascii="宋体" w:hAnsi="宋体" w:eastAsia="宋体" w:cs="Times New Roman"/>
      <w:sz w:val="32"/>
      <w:szCs w:val="20"/>
    </w:rPr>
  </w:style>
  <w:style w:type="character" w:styleId="946" w:customStyle="1">
    <w:name w:val="标题 1 字符"/>
    <w:link w:val="723"/>
    <w:uiPriority w:val="0"/>
    <w:qFormat/>
    <w:rPr>
      <w:rFonts w:ascii="黑体" w:eastAsia="黑体"/>
      <w:b/>
      <w:sz w:val="44"/>
      <w:szCs w:val="44"/>
    </w:rPr>
  </w:style>
  <w:style w:type="character" w:styleId="947" w:customStyle="1">
    <w:name w:val="标题 2 字符"/>
    <w:link w:val="724"/>
    <w:uiPriority w:val="0"/>
    <w:qFormat/>
    <w:rPr>
      <w:rFonts w:ascii="宋体" w:hAnsi="宋体" w:cstheme="majorBidi"/>
      <w:bCs/>
      <w:sz w:val="24"/>
      <w:szCs w:val="32"/>
      <w:lang w:val="zh-CN"/>
    </w:rPr>
  </w:style>
  <w:style w:type="character" w:styleId="948" w:customStyle="1">
    <w:name w:val="正文缩进 字符"/>
    <w:link w:val="735"/>
    <w:uiPriority w:val="0"/>
    <w:qFormat/>
    <w:rPr>
      <w:sz w:val="21"/>
    </w:rPr>
  </w:style>
  <w:style w:type="character" w:styleId="949" w:customStyle="1">
    <w:name w:val="标题 3 Char"/>
    <w:uiPriority w:val="99"/>
    <w:qFormat/>
    <w:rPr>
      <w:rFonts w:ascii="宋体" w:hAnsi="宋体" w:eastAsia="宋体"/>
      <w:b/>
      <w:bCs/>
      <w:sz w:val="24"/>
      <w:szCs w:val="32"/>
      <w:lang w:val="en-US" w:eastAsia="zh-CN" w:bidi="ar-SA"/>
    </w:rPr>
  </w:style>
  <w:style w:type="character" w:styleId="950" w:customStyle="1">
    <w:name w:val="标题 4 字符"/>
    <w:link w:val="726"/>
    <w:uiPriority w:val="0"/>
    <w:qFormat/>
    <w:rPr>
      <w:rFonts w:ascii="Arial" w:hAnsi="Arial" w:eastAsia="黑体" w:cstheme="majorBidi"/>
      <w:b/>
      <w:sz w:val="28"/>
    </w:rPr>
  </w:style>
  <w:style w:type="character" w:styleId="951" w:customStyle="1">
    <w:name w:val="标题 5 字符"/>
    <w:link w:val="727"/>
    <w:uiPriority w:val="0"/>
    <w:qFormat/>
    <w:rPr>
      <w:rFonts w:ascii="黑体" w:eastAsia="黑体"/>
      <w:b/>
      <w:color w:val="000000"/>
      <w:sz w:val="28"/>
    </w:rPr>
  </w:style>
  <w:style w:type="character" w:styleId="952" w:customStyle="1">
    <w:name w:val="标题 6 字符"/>
    <w:link w:val="728"/>
    <w:uiPriority w:val="0"/>
    <w:qFormat/>
    <w:rPr>
      <w:rFonts w:ascii="Arial" w:hAnsi="Arial" w:eastAsia="黑体" w:cstheme="majorBidi"/>
      <w:b/>
      <w:bCs/>
      <w:sz w:val="24"/>
      <w:szCs w:val="24"/>
    </w:rPr>
  </w:style>
  <w:style w:type="character" w:styleId="953" w:customStyle="1">
    <w:name w:val="标题 7 字符"/>
    <w:link w:val="729"/>
    <w:uiPriority w:val="0"/>
    <w:qFormat/>
    <w:rPr>
      <w:b/>
      <w:bCs/>
      <w:sz w:val="24"/>
      <w:szCs w:val="24"/>
    </w:rPr>
  </w:style>
  <w:style w:type="character" w:styleId="954" w:customStyle="1">
    <w:name w:val="标题 8 字符"/>
    <w:link w:val="730"/>
    <w:uiPriority w:val="0"/>
    <w:qFormat/>
    <w:rPr>
      <w:rFonts w:ascii="Arial" w:hAnsi="Arial" w:eastAsia="黑体" w:cstheme="majorBidi"/>
      <w:sz w:val="24"/>
      <w:szCs w:val="24"/>
    </w:rPr>
  </w:style>
  <w:style w:type="character" w:styleId="955" w:customStyle="1">
    <w:name w:val="标题 9 字符"/>
    <w:link w:val="731"/>
    <w:uiPriority w:val="0"/>
    <w:qFormat/>
    <w:rPr>
      <w:rFonts w:ascii="Arial" w:hAnsi="Arial" w:eastAsia="黑体" w:cstheme="majorBidi"/>
      <w:sz w:val="21"/>
      <w:szCs w:val="21"/>
    </w:rPr>
  </w:style>
  <w:style w:type="character" w:styleId="956" w:customStyle="1">
    <w:name w:val="文档结构图 字符"/>
    <w:link w:val="743"/>
    <w:uiPriority w:val="99"/>
    <w:semiHidden/>
    <w:qFormat/>
    <w:rPr>
      <w:sz w:val="21"/>
      <w:shd w:val="clear" w:color="auto" w:fill="000080"/>
    </w:rPr>
  </w:style>
  <w:style w:type="character" w:styleId="957" w:customStyle="1">
    <w:name w:val="批注文字 字符"/>
    <w:link w:val="744"/>
    <w:uiPriority w:val="99"/>
    <w:qFormat/>
    <w:rPr>
      <w:sz w:val="21"/>
    </w:rPr>
  </w:style>
  <w:style w:type="character" w:styleId="958" w:customStyle="1">
    <w:name w:val="正文文本 3 字符"/>
    <w:link w:val="747"/>
    <w:uiPriority w:val="0"/>
    <w:qFormat/>
    <w:rPr>
      <w:rFonts w:ascii="仿宋_GB2312" w:hAnsi="Arial" w:eastAsia="仿宋_GB2312"/>
      <w:sz w:val="32"/>
    </w:rPr>
  </w:style>
  <w:style w:type="character" w:styleId="959" w:customStyle="1">
    <w:name w:val="正文文本 字符"/>
    <w:link w:val="748"/>
    <w:uiPriority w:val="0"/>
    <w:qFormat/>
    <w:rPr>
      <w:rFonts w:ascii="楷体_GB2312" w:hAnsi="Arial" w:eastAsia="楷体_GB2312"/>
      <w:sz w:val="28"/>
    </w:rPr>
  </w:style>
  <w:style w:type="character" w:styleId="960" w:customStyle="1">
    <w:name w:val="纯文本 字符"/>
    <w:link w:val="756"/>
    <w:uiPriority w:val="99"/>
    <w:qFormat/>
    <w:rPr>
      <w:rFonts w:ascii="宋体" w:hAnsi="Courier New" w:cs="Courier New"/>
      <w:sz w:val="21"/>
    </w:rPr>
  </w:style>
  <w:style w:type="character" w:styleId="961" w:customStyle="1">
    <w:name w:val="日期 字符"/>
    <w:basedOn w:val="732"/>
    <w:link w:val="759"/>
    <w:uiPriority w:val="99"/>
    <w:qFormat/>
    <w:rPr>
      <w:sz w:val="28"/>
    </w:rPr>
  </w:style>
  <w:style w:type="character" w:styleId="962" w:customStyle="1">
    <w:name w:val="正文文本缩进 2 字符"/>
    <w:link w:val="760"/>
    <w:uiPriority w:val="0"/>
    <w:qFormat/>
    <w:rPr>
      <w:rFonts w:ascii="Arial" w:hAnsi="Arial" w:eastAsia="仿宋_GB2312" w:cs="Arial"/>
      <w:sz w:val="32"/>
    </w:rPr>
  </w:style>
  <w:style w:type="character" w:styleId="963" w:customStyle="1">
    <w:name w:val="批注框文本 字符"/>
    <w:link w:val="762"/>
    <w:uiPriority w:val="99"/>
    <w:semiHidden/>
    <w:qFormat/>
    <w:rPr>
      <w:sz w:val="18"/>
      <w:szCs w:val="18"/>
    </w:rPr>
  </w:style>
  <w:style w:type="character" w:styleId="964" w:customStyle="1">
    <w:name w:val="页脚 字符"/>
    <w:link w:val="763"/>
    <w:uiPriority w:val="99"/>
    <w:qFormat/>
    <w:rPr>
      <w:sz w:val="18"/>
    </w:rPr>
  </w:style>
  <w:style w:type="character" w:styleId="965" w:customStyle="1">
    <w:name w:val="页眉 字符"/>
    <w:basedOn w:val="732"/>
    <w:link w:val="764"/>
    <w:uiPriority w:val="99"/>
    <w:qFormat/>
    <w:rPr>
      <w:sz w:val="18"/>
    </w:rPr>
  </w:style>
  <w:style w:type="character" w:styleId="966" w:customStyle="1">
    <w:name w:val="正文文本缩进 3 字符"/>
    <w:link w:val="774"/>
    <w:uiPriority w:val="0"/>
    <w:qFormat/>
    <w:rPr>
      <w:rFonts w:ascii="Arial" w:hAnsi="Arial" w:eastAsia="仿宋_GB2312" w:cs="Arial"/>
      <w:color w:val="ffff00"/>
      <w:sz w:val="32"/>
    </w:rPr>
  </w:style>
  <w:style w:type="character" w:styleId="967" w:customStyle="1">
    <w:name w:val="正文文本 2 字符"/>
    <w:link w:val="780"/>
    <w:uiPriority w:val="0"/>
    <w:qFormat/>
    <w:rPr>
      <w:rFonts w:ascii="楷体_GB2312" w:eastAsia="楷体_GB2312"/>
      <w:sz w:val="28"/>
    </w:rPr>
  </w:style>
  <w:style w:type="character" w:styleId="968" w:customStyle="1">
    <w:name w:val="批注主题 字符"/>
    <w:link w:val="785"/>
    <w:uiPriority w:val="99"/>
    <w:semiHidden/>
    <w:qFormat/>
    <w:rPr>
      <w:b/>
      <w:bCs/>
      <w:sz w:val="21"/>
    </w:rPr>
  </w:style>
  <w:style w:type="character" w:styleId="969" w:customStyle="1">
    <w:name w:val="正文首行缩进 字符"/>
    <w:link w:val="786"/>
    <w:uiPriority w:val="0"/>
    <w:qFormat/>
    <w:rPr>
      <w:sz w:val="21"/>
      <w:szCs w:val="24"/>
    </w:rPr>
  </w:style>
  <w:style w:type="paragraph" w:styleId="970" w:customStyle="1">
    <w:name w:val="正文文本缩进1"/>
    <w:basedOn w:val="722"/>
    <w:uiPriority w:val="0"/>
    <w:qFormat/>
    <w:pPr>
      <w:ind w:left="420"/>
      <w:spacing w:after="120"/>
    </w:pPr>
    <w:rPr>
      <w:szCs w:val="24"/>
    </w:rPr>
  </w:style>
  <w:style w:type="paragraph" w:styleId="971" w:customStyle="1">
    <w:name w:val="正文文本首行缩进 2"/>
    <w:basedOn w:val="970"/>
    <w:uiPriority w:val="0"/>
    <w:qFormat/>
    <w:pPr>
      <w:ind w:left="0" w:firstLine="420"/>
      <w:spacing w:after="0" w:line="360" w:lineRule="auto"/>
    </w:pPr>
    <w:rPr>
      <w:rFonts w:ascii="宋体" w:hAnsi="宋体"/>
      <w:sz w:val="20"/>
      <w:szCs w:val="20"/>
      <w:lang w:eastAsia="en-US"/>
    </w:rPr>
  </w:style>
  <w:style w:type="paragraph" w:styleId="972" w:customStyle="1">
    <w:name w:val="正文文本12"/>
    <w:basedOn w:val="722"/>
    <w:uiPriority w:val="1"/>
    <w:qFormat/>
    <w:pPr>
      <w:ind w:left="120"/>
    </w:pPr>
    <w:rPr>
      <w:rFonts w:ascii="宋体" w:hAnsi="宋体" w:cs="宋体"/>
      <w:szCs w:val="21"/>
      <w:lang w:val="zh-CN" w:bidi="zh-CN"/>
    </w:rPr>
  </w:style>
  <w:style w:type="character" w:styleId="973" w:customStyle="1">
    <w:name w:val="font5 Char"/>
    <w:uiPriority w:val="0"/>
    <w:qFormat/>
    <w:rPr>
      <w:rFonts w:ascii="宋体" w:hAnsi="宋体" w:eastAsia="宋体"/>
      <w:sz w:val="28"/>
      <w:szCs w:val="28"/>
      <w:lang w:val="en-US" w:eastAsia="zh-CN" w:bidi="ar-SA"/>
    </w:rPr>
  </w:style>
  <w:style w:type="character" w:styleId="974" w:customStyle="1">
    <w:name w:val="二级目录 Char"/>
    <w:link w:val="975"/>
    <w:uiPriority w:val="0"/>
    <w:qFormat/>
    <w:rPr>
      <w:b/>
      <w:sz w:val="30"/>
      <w:szCs w:val="28"/>
    </w:rPr>
  </w:style>
  <w:style w:type="paragraph" w:styleId="975" w:customStyle="1">
    <w:name w:val="二级目录"/>
    <w:next w:val="722"/>
    <w:link w:val="97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76" w:customStyle="1">
    <w:name w:val="列出段落 字符"/>
    <w:link w:val="977"/>
    <w:uiPriority w:val="34"/>
    <w:qFormat/>
    <w:rPr>
      <w:sz w:val="21"/>
      <w:szCs w:val="24"/>
    </w:rPr>
  </w:style>
  <w:style w:type="paragraph" w:styleId="977">
    <w:name w:val="List Paragraph"/>
    <w:basedOn w:val="722"/>
    <w:link w:val="976"/>
    <w:uiPriority w:val="34"/>
    <w:qFormat/>
    <w:pPr>
      <w:ind w:firstLine="420"/>
    </w:pPr>
    <w:rPr>
      <w:szCs w:val="24"/>
    </w:rPr>
  </w:style>
  <w:style w:type="paragraph" w:styleId="978" w:customStyle="1">
    <w:name w:val="列出段落1"/>
    <w:basedOn w:val="722"/>
    <w:uiPriority w:val="99"/>
    <w:qFormat/>
    <w:pPr>
      <w:contextualSpacing/>
      <w:ind w:left="720"/>
      <w:jc w:val="left"/>
      <w:widowControl/>
    </w:pPr>
    <w:rPr>
      <w:rFonts w:ascii="Arial" w:hAnsi="Arial" w:eastAsia="黑体"/>
      <w:sz w:val="24"/>
      <w:szCs w:val="24"/>
      <w:lang w:eastAsia="en-US"/>
    </w:rPr>
  </w:style>
  <w:style w:type="paragraph" w:styleId="979" w:customStyle="1">
    <w:name w:val="Body Text(ch)"/>
    <w:basedOn w:val="722"/>
    <w:next w:val="748"/>
    <w:uiPriority w:val="0"/>
    <w:qFormat/>
    <w:pPr>
      <w:spacing w:after="120"/>
    </w:pPr>
    <w:rPr>
      <w:rFonts w:ascii="宋体" w:hAnsi="Arial"/>
      <w:bCs/>
      <w:iCs/>
      <w:szCs w:val="24"/>
    </w:rPr>
  </w:style>
  <w:style w:type="paragraph" w:styleId="980" w:customStyle="1">
    <w:name w:val="xl27"/>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81" w:customStyle="1">
    <w:name w:val="xl26"/>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82" w:customStyle="1">
    <w:name w:val="Char"/>
    <w:basedOn w:val="722"/>
    <w:uiPriority w:val="99"/>
    <w:qFormat/>
    <w:pPr>
      <w:spacing w:line="360" w:lineRule="auto"/>
    </w:pPr>
    <w:rPr>
      <w:rFonts w:ascii="Tahoma" w:hAnsi="Tahoma"/>
      <w:sz w:val="24"/>
    </w:rPr>
  </w:style>
  <w:style w:type="paragraph" w:styleId="983" w:customStyle="1">
    <w:name w:val="Char121"/>
    <w:basedOn w:val="743"/>
    <w:uiPriority w:val="0"/>
    <w:qFormat/>
    <w:rPr>
      <w:rFonts w:ascii="Tahoma" w:hAnsi="Tahoma"/>
      <w:sz w:val="24"/>
      <w:szCs w:val="24"/>
    </w:rPr>
  </w:style>
  <w:style w:type="paragraph" w:styleId="984" w:customStyle="1">
    <w:name w:val="普通正文"/>
    <w:basedOn w:val="722"/>
    <w:uiPriority w:val="0"/>
    <w:qFormat/>
    <w:pPr>
      <w:ind w:firstLine="480"/>
      <w:jc w:val="left"/>
      <w:spacing w:before="120" w:after="120" w:line="360" w:lineRule="auto"/>
    </w:pPr>
    <w:rPr>
      <w:rFonts w:ascii="Arial" w:hAnsi="Arial"/>
      <w:sz w:val="24"/>
      <w:szCs w:val="24"/>
    </w:rPr>
  </w:style>
  <w:style w:type="paragraph" w:styleId="985" w:customStyle="1">
    <w:name w:val="table_lines"/>
    <w:basedOn w:val="722"/>
    <w:uiPriority w:val="0"/>
    <w:qFormat/>
    <w:pPr>
      <w:jc w:val="left"/>
      <w:widowControl/>
    </w:pPr>
    <w:rPr>
      <w:sz w:val="20"/>
      <w:lang w:val="de-DE" w:eastAsia="de-DE"/>
    </w:rPr>
  </w:style>
  <w:style w:type="paragraph" w:styleId="98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87" w:customStyle="1">
    <w:name w:val="font7"/>
    <w:basedOn w:val="722"/>
    <w:uiPriority w:val="99"/>
    <w:qFormat/>
    <w:pPr>
      <w:jc w:val="left"/>
      <w:spacing w:before="100" w:beforeAutospacing="1" w:after="100" w:afterAutospacing="1"/>
      <w:widowControl/>
    </w:pPr>
    <w:rPr>
      <w:rFonts w:hint="eastAsia" w:ascii="宋体" w:hAnsi="宋体"/>
      <w:b/>
      <w:bCs/>
      <w:sz w:val="24"/>
      <w:szCs w:val="24"/>
    </w:rPr>
  </w:style>
  <w:style w:type="paragraph" w:styleId="988" w:customStyle="1">
    <w:name w:val="Char Char Char Char"/>
    <w:basedOn w:val="743"/>
    <w:uiPriority w:val="99"/>
    <w:qFormat/>
    <w:pPr>
      <w:spacing w:line="360" w:lineRule="auto"/>
    </w:pPr>
    <w:rPr>
      <w:rFonts w:ascii="Tahoma" w:hAnsi="Tahoma"/>
      <w:sz w:val="24"/>
      <w:szCs w:val="24"/>
    </w:rPr>
  </w:style>
  <w:style w:type="paragraph" w:styleId="989" w:customStyle="1">
    <w:name w:val="4"/>
    <w:basedOn w:val="722"/>
    <w:next w:val="774"/>
    <w:uiPriority w:val="0"/>
    <w:qFormat/>
    <w:pPr>
      <w:ind w:firstLine="420"/>
      <w:spacing w:line="360" w:lineRule="auto"/>
    </w:pPr>
    <w:rPr>
      <w:color w:val="ff0000"/>
      <w:sz w:val="24"/>
      <w:szCs w:val="24"/>
    </w:rPr>
  </w:style>
  <w:style w:type="paragraph" w:styleId="990" w:customStyle="1">
    <w:name w:val="普通 (Web)"/>
    <w:basedOn w:val="722"/>
    <w:uiPriority w:val="0"/>
    <w:qFormat/>
    <w:pPr>
      <w:jc w:val="left"/>
      <w:spacing w:before="100" w:beforeAutospacing="1" w:after="100" w:afterAutospacing="1"/>
      <w:widowControl/>
    </w:pPr>
    <w:rPr>
      <w:rFonts w:ascii="宋体" w:hAnsi="宋体"/>
      <w:sz w:val="24"/>
      <w:szCs w:val="24"/>
    </w:rPr>
  </w:style>
  <w:style w:type="paragraph" w:styleId="991" w:customStyle="1">
    <w:name w:val="Char Char Char Char Char Char Char Char Char Char"/>
    <w:basedOn w:val="722"/>
    <w:uiPriority w:val="0"/>
    <w:qFormat/>
    <w:pPr>
      <w:spacing w:line="360" w:lineRule="auto"/>
    </w:pPr>
    <w:rPr>
      <w:sz w:val="24"/>
    </w:rPr>
  </w:style>
  <w:style w:type="paragraph" w:styleId="992" w:customStyle="1">
    <w:name w:val="样式1"/>
    <w:basedOn w:val="722"/>
    <w:uiPriority w:val="99"/>
    <w:qFormat/>
    <w:pPr>
      <w:ind w:firstLine="480"/>
      <w:spacing w:line="300" w:lineRule="auto"/>
    </w:pPr>
    <w:rPr>
      <w:sz w:val="24"/>
      <w:szCs w:val="24"/>
    </w:rPr>
  </w:style>
  <w:style w:type="paragraph" w:styleId="993" w:customStyle="1">
    <w:name w:val="font6"/>
    <w:basedOn w:val="722"/>
    <w:uiPriority w:val="99"/>
    <w:qFormat/>
    <w:pPr>
      <w:jc w:val="left"/>
      <w:spacing w:before="100" w:beforeAutospacing="1" w:after="100" w:afterAutospacing="1"/>
      <w:widowControl/>
    </w:pPr>
    <w:rPr>
      <w:rFonts w:ascii="宋体" w:hAnsi="宋体" w:cs="宋体"/>
      <w:b/>
      <w:bCs/>
      <w:sz w:val="20"/>
    </w:rPr>
  </w:style>
  <w:style w:type="paragraph" w:styleId="994" w:customStyle="1">
    <w:name w:val="xl25"/>
    <w:basedOn w:val="722"/>
    <w:uiPriority w:val="99"/>
    <w:qFormat/>
    <w:pPr>
      <w:jc w:val="center"/>
      <w:spacing w:before="100" w:beforeAutospacing="1" w:after="100" w:afterAutospacing="1"/>
      <w:widowControl/>
      <w:pBdr>
        <w:right w:val="single" w:color="auto" w:sz="4" w:space="0"/>
      </w:pBdr>
    </w:pPr>
    <w:rPr>
      <w:rFonts w:cs="Arial Unicode MS"/>
      <w:szCs w:val="21"/>
    </w:rPr>
  </w:style>
  <w:style w:type="paragraph" w:styleId="995" w:customStyle="1">
    <w:name w:val="图标"/>
    <w:basedOn w:val="722"/>
    <w:next w:val="722"/>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996" w:customStyle="1">
    <w:name w:val="标题3"/>
    <w:basedOn w:val="725"/>
    <w:uiPriority w:val="99"/>
    <w:qFormat/>
    <w:pPr>
      <w:keepLines w:val="0"/>
      <w:keepNext w:val="0"/>
      <w:spacing w:line="360" w:lineRule="auto"/>
    </w:pPr>
    <w:rPr>
      <w:rFonts w:eastAsia="仿宋_GB2312"/>
      <w:b w:val="0"/>
      <w:bCs/>
      <w:sz w:val="30"/>
      <w:szCs w:val="32"/>
    </w:rPr>
  </w:style>
  <w:style w:type="paragraph" w:styleId="997" w:customStyle="1">
    <w:name w:val="xl24"/>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998" w:customStyle="1">
    <w:name w:val="xl29"/>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99" w:customStyle="1">
    <w:name w:val="Char Char Char Char Char Char Char Char"/>
    <w:basedOn w:val="722"/>
    <w:uiPriority w:val="99"/>
    <w:qFormat/>
    <w:rPr>
      <w:rFonts w:ascii="Tahoma" w:hAnsi="Tahoma" w:cs="Tahoma"/>
      <w:sz w:val="24"/>
    </w:rPr>
  </w:style>
  <w:style w:type="paragraph" w:styleId="1000" w:customStyle="1">
    <w:name w:val="xl28"/>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01" w:customStyle="1">
    <w:name w:val="Char Char Char Char Char Char Char Char11"/>
    <w:basedOn w:val="722"/>
    <w:uiPriority w:val="0"/>
    <w:qFormat/>
    <w:pPr>
      <w:jc w:val="left"/>
      <w:spacing w:after="160" w:line="240" w:lineRule="exact"/>
      <w:widowControl/>
    </w:pPr>
    <w:rPr>
      <w:rFonts w:ascii="Verdana" w:hAnsi="Verdana"/>
      <w:sz w:val="20"/>
      <w:lang w:eastAsia="en-US"/>
    </w:rPr>
  </w:style>
  <w:style w:type="paragraph" w:styleId="1002" w:customStyle="1">
    <w:name w:val="xl30"/>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03" w:customStyle="1">
    <w:name w:val="Char Char Char Char11"/>
    <w:basedOn w:val="743"/>
    <w:uiPriority w:val="99"/>
    <w:qFormat/>
    <w:pPr>
      <w:spacing w:line="360" w:lineRule="auto"/>
    </w:pPr>
    <w:rPr>
      <w:rFonts w:ascii="Tahoma" w:hAnsi="Tahoma"/>
      <w:sz w:val="24"/>
      <w:szCs w:val="24"/>
    </w:rPr>
  </w:style>
  <w:style w:type="paragraph" w:styleId="1004" w:customStyle="1">
    <w:name w:val="table_1stline"/>
    <w:basedOn w:val="722"/>
    <w:uiPriority w:val="0"/>
    <w:qFormat/>
    <w:pPr>
      <w:jc w:val="left"/>
      <w:spacing w:before="120"/>
      <w:widowControl/>
    </w:pPr>
    <w:rPr>
      <w:bCs/>
      <w:sz w:val="20"/>
      <w:lang w:val="de-DE" w:eastAsia="de-DE"/>
    </w:rPr>
  </w:style>
  <w:style w:type="paragraph" w:styleId="1005" w:customStyle="1">
    <w:name w:val="font5"/>
    <w:basedOn w:val="722"/>
    <w:uiPriority w:val="99"/>
    <w:qFormat/>
    <w:pPr>
      <w:jc w:val="left"/>
      <w:spacing w:before="100" w:beforeAutospacing="1" w:after="100" w:afterAutospacing="1"/>
      <w:widowControl/>
    </w:pPr>
    <w:rPr>
      <w:rFonts w:ascii="宋体" w:hAnsi="宋体" w:cs="宋体"/>
      <w:sz w:val="18"/>
      <w:szCs w:val="18"/>
    </w:rPr>
  </w:style>
  <w:style w:type="paragraph" w:styleId="1006" w:customStyle="1">
    <w:name w:val="标题1"/>
    <w:basedOn w:val="722"/>
    <w:next w:val="722"/>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007" w:customStyle="1">
    <w:name w:val="修订1"/>
    <w:uiPriority w:val="99"/>
    <w:semiHidden/>
    <w:qFormat/>
    <w:rPr>
      <w:rFonts w:ascii="Times New Roman" w:hAnsi="Times New Roman" w:eastAsia="宋体" w:cs="Times New Roman"/>
      <w:sz w:val="21"/>
      <w:szCs w:val="21"/>
      <w:lang w:val="en-US" w:eastAsia="zh-CN" w:bidi="ar-SA"/>
    </w:rPr>
  </w:style>
  <w:style w:type="paragraph" w:styleId="1008">
    <w:name w:val="No Spacing"/>
    <w:basedOn w:val="722"/>
    <w:link w:val="1301"/>
    <w:uiPriority w:val="99"/>
    <w:qFormat/>
    <w:rPr>
      <w:rFonts w:ascii="Calibri" w:hAnsi="Calibri" w:eastAsia="微软雅黑"/>
      <w:sz w:val="24"/>
      <w:szCs w:val="22"/>
    </w:rPr>
  </w:style>
  <w:style w:type="paragraph" w:styleId="1009" w:customStyle="1">
    <w:name w:val="正文文本 211"/>
    <w:basedOn w:val="722"/>
    <w:uiPriority w:val="99"/>
    <w:qFormat/>
    <w:pPr>
      <w:jc w:val="center"/>
    </w:pPr>
    <w:rPr>
      <w:b/>
      <w:bCs/>
      <w:sz w:val="20"/>
    </w:rPr>
  </w:style>
  <w:style w:type="table" w:styleId="1010" w:customStyle="1">
    <w:name w:val="Table Normal"/>
    <w:uiPriority w:val="0"/>
    <w:qFormat/>
    <w:tblPr>
      <w:tblCellMar>
        <w:left w:w="0" w:type="dxa"/>
        <w:top w:w="0" w:type="dxa"/>
        <w:right w:w="0" w:type="dxa"/>
        <w:bottom w:w="0" w:type="dxa"/>
      </w:tblCellMar>
    </w:tblPr>
  </w:style>
  <w:style w:type="paragraph" w:styleId="1011" w:customStyle="1">
    <w:name w:val="正文文本1"/>
    <w:basedOn w:val="722"/>
    <w:next w:val="722"/>
    <w:uiPriority w:val="0"/>
    <w:semiHidden/>
    <w:qFormat/>
    <w:rPr>
      <w:rFonts w:ascii="Arial" w:hAnsi="Arial" w:eastAsia="Arial" w:cs="Arial"/>
      <w:szCs w:val="21"/>
      <w:lang w:eastAsia="en-US"/>
    </w:rPr>
  </w:style>
  <w:style w:type="paragraph" w:styleId="1012" w:customStyle="1">
    <w:name w:val="纯文本1"/>
    <w:basedOn w:val="722"/>
    <w:uiPriority w:val="99"/>
    <w:qFormat/>
    <w:rPr>
      <w:rFonts w:ascii="宋体" w:hAnsi="宋体" w:eastAsia="楷体_GB2312" w:cs="宋体"/>
      <w:sz w:val="28"/>
    </w:rPr>
  </w:style>
  <w:style w:type="table" w:styleId="1013" w:customStyle="1">
    <w:name w:val="网格型1"/>
    <w:basedOn w:val="1014"/>
    <w:uiPriority w:val="0"/>
    <w:qFormat/>
    <w:pPr>
      <w:jc w:val="both"/>
      <w:widowControl w:val="off"/>
    </w:pPr>
    <w:tblPr/>
  </w:style>
  <w:style w:type="table" w:styleId="1014" w:customStyle="1">
    <w:name w:val="普通表格1"/>
    <w:uiPriority w:val="99"/>
    <w:unhideWhenUsed/>
    <w:qFormat/>
    <w:tblPr>
      <w:tblCellMar>
        <w:left w:w="0" w:type="dxa"/>
        <w:top w:w="0" w:type="dxa"/>
        <w:right w:w="0" w:type="dxa"/>
        <w:bottom w:w="0" w:type="dxa"/>
      </w:tblCellMar>
    </w:tblPr>
  </w:style>
  <w:style w:type="character" w:styleId="1015" w:customStyle="1">
    <w:name w:val="标题 3 Char Char"/>
    <w:uiPriority w:val="99"/>
    <w:qFormat/>
    <w:rPr>
      <w:rFonts w:eastAsia="仿宋_GB2312"/>
      <w:b/>
      <w:bCs/>
      <w:sz w:val="28"/>
      <w:szCs w:val="32"/>
      <w:lang w:val="en-US" w:eastAsia="zh-CN" w:bidi="ar-SA"/>
    </w:rPr>
  </w:style>
  <w:style w:type="character" w:styleId="1016" w:customStyle="1">
    <w:name w:val="明显参考1"/>
    <w:uiPriority w:val="99"/>
    <w:qFormat/>
    <w:rPr>
      <w:smallCaps/>
      <w:spacing w:val="5"/>
      <w:u w:val="single"/>
    </w:rPr>
  </w:style>
  <w:style w:type="character" w:styleId="1017" w:customStyle="1">
    <w:name w:val="小四 段落 宋体 Char Char Char Char Char Char"/>
    <w:uiPriority w:val="99"/>
    <w:qFormat/>
    <w:rPr>
      <w:rFonts w:eastAsia="宋体"/>
      <w:sz w:val="24"/>
      <w:szCs w:val="24"/>
      <w:lang w:val="en-US" w:eastAsia="zh-CN" w:bidi="ar-SA"/>
    </w:rPr>
  </w:style>
  <w:style w:type="character" w:styleId="1018" w:customStyle="1">
    <w:name w:val="小四 段落 宋体 Char Char Char1"/>
    <w:uiPriority w:val="99"/>
    <w:qFormat/>
    <w:rPr>
      <w:rFonts w:ascii="宋体" w:hAnsi="宋体" w:eastAsia="宋体"/>
      <w:sz w:val="24"/>
      <w:szCs w:val="24"/>
      <w:lang w:val="en-US" w:eastAsia="zh-CN" w:bidi="ar-SA"/>
    </w:rPr>
  </w:style>
  <w:style w:type="character" w:styleId="1019" w:customStyle="1">
    <w:name w:val="subtitle1"/>
    <w:uiPriority w:val="99"/>
    <w:qFormat/>
    <w:rPr>
      <w:rFonts w:hint="default" w:ascii="Georgia" w:hAnsi="Georgia"/>
      <w:b/>
      <w:bCs/>
      <w:color w:val="666666"/>
      <w:sz w:val="18"/>
      <w:szCs w:val="18"/>
    </w:rPr>
  </w:style>
  <w:style w:type="character" w:styleId="1020" w:customStyle="1">
    <w:name w:val="Char Char25"/>
    <w:uiPriority w:val="99"/>
    <w:qFormat/>
    <w:rPr>
      <w:rFonts w:ascii="Arial" w:hAnsi="Arial" w:eastAsia="黑体"/>
      <w:b/>
      <w:sz w:val="28"/>
    </w:rPr>
  </w:style>
  <w:style w:type="character" w:styleId="1021" w:customStyle="1">
    <w:name w:val="纯文本 Char Char Char"/>
    <w:uiPriority w:val="99"/>
    <w:qFormat/>
    <w:rPr>
      <w:rFonts w:ascii="宋体" w:hAnsi="Courier New" w:eastAsia="宋体"/>
      <w:sz w:val="21"/>
      <w:szCs w:val="21"/>
      <w:lang w:val="en-US" w:eastAsia="zh-CN" w:bidi="ar-SA"/>
    </w:rPr>
  </w:style>
  <w:style w:type="character" w:styleId="1022" w:customStyle="1">
    <w:name w:val="Char Char21"/>
    <w:uiPriority w:val="99"/>
    <w:qFormat/>
    <w:rPr>
      <w:rFonts w:ascii="Arial" w:hAnsi="Arial" w:eastAsia="黑体"/>
      <w:sz w:val="24"/>
      <w:szCs w:val="24"/>
    </w:rPr>
  </w:style>
  <w:style w:type="character" w:styleId="1023" w:customStyle="1">
    <w:name w:val="书籍标题1"/>
    <w:uiPriority w:val="99"/>
    <w:qFormat/>
    <w:rPr>
      <w:i/>
      <w:iCs/>
      <w:smallCaps/>
      <w:spacing w:val="5"/>
    </w:rPr>
  </w:style>
  <w:style w:type="character" w:styleId="102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99"/>
    <w:qFormat/>
    <w:rPr>
      <w:rFonts w:eastAsia="宋体"/>
      <w:b/>
      <w:bCs/>
      <w:sz w:val="32"/>
      <w:szCs w:val="32"/>
      <w:lang w:val="en-US" w:eastAsia="zh-CN" w:bidi="ar-SA"/>
    </w:rPr>
  </w:style>
  <w:style w:type="character" w:styleId="1025" w:customStyle="1">
    <w:name w:val="纯文本 Char Char Char1"/>
    <w:uiPriority w:val="99"/>
    <w:qFormat/>
    <w:rPr>
      <w:rFonts w:ascii="宋体" w:hAnsi="Courier New" w:eastAsia="宋体"/>
      <w:sz w:val="21"/>
      <w:szCs w:val="21"/>
      <w:lang w:val="en-US" w:eastAsia="zh-CN" w:bidi="ar-SA"/>
    </w:rPr>
  </w:style>
  <w:style w:type="character" w:styleId="1026" w:customStyle="1">
    <w:name w:val="h Char Char"/>
    <w:uiPriority w:val="99"/>
    <w:qFormat/>
    <w:rPr>
      <w:rFonts w:eastAsia="宋体"/>
      <w:sz w:val="18"/>
      <w:szCs w:val="18"/>
      <w:lang w:val="en-US" w:eastAsia="zh-CN" w:bidi="ar-SA"/>
    </w:rPr>
  </w:style>
  <w:style w:type="character" w:styleId="1027" w:customStyle="1">
    <w:name w:val="样式 非加粗"/>
    <w:uiPriority w:val="99"/>
    <w:qFormat/>
    <w:rPr>
      <w:rFonts w:eastAsia="宋体"/>
      <w:sz w:val="28"/>
    </w:rPr>
  </w:style>
  <w:style w:type="character" w:styleId="1028" w:customStyle="1">
    <w:name w:val="小四 段落 宋体 Char1"/>
    <w:uiPriority w:val="99"/>
    <w:qFormat/>
    <w:rPr>
      <w:rFonts w:eastAsia="宋体"/>
      <w:sz w:val="24"/>
      <w:szCs w:val="24"/>
      <w:lang w:val="en-US" w:eastAsia="zh-CN" w:bidi="ar-SA"/>
    </w:rPr>
  </w:style>
  <w:style w:type="character" w:styleId="1029" w:customStyle="1">
    <w:name w:val="para_small"/>
    <w:basedOn w:val="732"/>
    <w:uiPriority w:val="99"/>
    <w:qFormat/>
  </w:style>
  <w:style w:type="character" w:styleId="1030" w:customStyle="1">
    <w:name w:val="纯文本 Char Char"/>
    <w:uiPriority w:val="99"/>
    <w:qFormat/>
    <w:rPr>
      <w:rFonts w:ascii="宋体" w:hAnsi="Courier New" w:eastAsia="宋体"/>
      <w:sz w:val="21"/>
      <w:szCs w:val="21"/>
      <w:lang w:val="en-US" w:eastAsia="zh-CN" w:bidi="ar-SA"/>
    </w:rPr>
  </w:style>
  <w:style w:type="character" w:styleId="1031" w:customStyle="1">
    <w:name w:val="point_normal1"/>
    <w:uiPriority w:val="99"/>
    <w:qFormat/>
    <w:rPr>
      <w:rFonts w:hint="default" w:ascii="Arial" w:hAnsi="Arial" w:cs="Arial"/>
      <w:sz w:val="18"/>
      <w:szCs w:val="18"/>
    </w:rPr>
  </w:style>
  <w:style w:type="character" w:styleId="1032" w:customStyle="1">
    <w:name w:val="标准文本 Char Char"/>
    <w:uiPriority w:val="99"/>
    <w:qFormat/>
    <w:rPr>
      <w:rFonts w:eastAsia="宋体" w:cs="宋体"/>
      <w:sz w:val="24"/>
      <w:szCs w:val="24"/>
      <w:lang w:val="en-US" w:eastAsia="zh-CN" w:bidi="ar-SA"/>
    </w:rPr>
  </w:style>
  <w:style w:type="character" w:styleId="1033" w:customStyle="1">
    <w:name w:val="Title1 Char"/>
    <w:uiPriority w:val="99"/>
    <w:qFormat/>
    <w:rPr>
      <w:rFonts w:eastAsia="宋体"/>
      <w:b/>
      <w:bCs/>
      <w:sz w:val="44"/>
      <w:szCs w:val="44"/>
      <w:lang w:val="en-US" w:eastAsia="zh-CN" w:bidi="ar-SA"/>
    </w:rPr>
  </w:style>
  <w:style w:type="character" w:styleId="1034" w:customStyle="1">
    <w:name w:val="特点 Char1"/>
    <w:uiPriority w:val="99"/>
    <w:qFormat/>
    <w:rPr>
      <w:rFonts w:eastAsia="宋体"/>
      <w:sz w:val="21"/>
      <w:lang w:val="en-US" w:eastAsia="zh-CN" w:bidi="ar-SA"/>
    </w:rPr>
  </w:style>
  <w:style w:type="character" w:styleId="1035" w:customStyle="1">
    <w:name w:val="textcontents"/>
    <w:basedOn w:val="732"/>
    <w:uiPriority w:val="99"/>
    <w:qFormat/>
  </w:style>
  <w:style w:type="character" w:styleId="1036" w:customStyle="1">
    <w:name w:val="Char Char28"/>
    <w:uiPriority w:val="99"/>
    <w:qFormat/>
    <w:rPr>
      <w:rFonts w:ascii="Arial" w:hAnsi="Arial" w:eastAsia="黑体" w:cs="Arial"/>
      <w:b/>
      <w:bCs/>
      <w:sz w:val="32"/>
      <w:szCs w:val="32"/>
    </w:rPr>
  </w:style>
  <w:style w:type="character" w:styleId="1037" w:customStyle="1">
    <w:name w:val="Char Char23"/>
    <w:uiPriority w:val="99"/>
    <w:qFormat/>
    <w:rPr>
      <w:rFonts w:ascii="Arial" w:hAnsi="Arial" w:eastAsia="黑体"/>
      <w:b/>
      <w:bCs/>
      <w:sz w:val="24"/>
      <w:szCs w:val="24"/>
    </w:rPr>
  </w:style>
  <w:style w:type="character" w:styleId="1038" w:customStyle="1">
    <w:name w:val="case31"/>
    <w:uiPriority w:val="99"/>
    <w:qFormat/>
    <w:rPr>
      <w:sz w:val="21"/>
      <w:szCs w:val="21"/>
    </w:rPr>
  </w:style>
  <w:style w:type="character" w:styleId="1039" w:customStyle="1">
    <w:name w:val="已访问的超链接1"/>
    <w:uiPriority w:val="99"/>
    <w:qFormat/>
    <w:rPr>
      <w:color w:val="auto"/>
      <w:u w:val="none"/>
    </w:rPr>
  </w:style>
  <w:style w:type="paragraph" w:styleId="1040" w:customStyle="1">
    <w:name w:val="正文缩进1"/>
    <w:basedOn w:val="722"/>
    <w:link w:val="1041"/>
    <w:uiPriority w:val="0"/>
    <w:qFormat/>
    <w:pPr>
      <w:ind w:firstLine="420"/>
    </w:pPr>
    <w:rPr>
      <w:sz w:val="20"/>
    </w:rPr>
  </w:style>
  <w:style w:type="character" w:styleId="1041" w:customStyle="1">
    <w:name w:val="正文缩进 Char1"/>
    <w:link w:val="1040"/>
    <w:uiPriority w:val="0"/>
    <w:qFormat/>
  </w:style>
  <w:style w:type="character" w:styleId="1042" w:customStyle="1">
    <w:name w:val="标准小四 Char"/>
    <w:uiPriority w:val="99"/>
    <w:qFormat/>
    <w:rPr>
      <w:rFonts w:ascii="Arial" w:hAnsi="Arial" w:eastAsia="宋体"/>
      <w:sz w:val="24"/>
      <w:szCs w:val="21"/>
      <w:lang w:val="en-US" w:eastAsia="zh-CN" w:bidi="ar-SA"/>
    </w:rPr>
  </w:style>
  <w:style w:type="character" w:styleId="1043" w:customStyle="1">
    <w:name w:val="Char Char20"/>
    <w:uiPriority w:val="99"/>
    <w:qFormat/>
    <w:rPr>
      <w:rFonts w:ascii="Arial" w:hAnsi="Arial" w:eastAsia="黑体"/>
      <w:sz w:val="21"/>
      <w:szCs w:val="21"/>
    </w:rPr>
  </w:style>
  <w:style w:type="character" w:styleId="1044" w:customStyle="1">
    <w:name w:val="不明显强调1"/>
    <w:uiPriority w:val="99"/>
    <w:qFormat/>
    <w:rPr>
      <w:i/>
      <w:iCs/>
    </w:rPr>
  </w:style>
  <w:style w:type="character" w:styleId="1045" w:customStyle="1">
    <w:name w:val="华宇段落1 Char Char"/>
    <w:uiPriority w:val="99"/>
    <w:qFormat/>
    <w:rPr>
      <w:rFonts w:eastAsia="宋体"/>
      <w:bCs/>
      <w:sz w:val="24"/>
      <w:szCs w:val="24"/>
      <w:lang w:val="en-US" w:eastAsia="zh-CN" w:bidi="ar-SA"/>
    </w:rPr>
  </w:style>
  <w:style w:type="character" w:styleId="1046" w:customStyle="1">
    <w:name w:val="title_emph1"/>
    <w:uiPriority w:val="99"/>
    <w:qFormat/>
    <w:rPr>
      <w:rFonts w:ascii="Arial" w:cs="Arial"/>
      <w:b/>
      <w:bCs/>
      <w:sz w:val="18"/>
      <w:szCs w:val="18"/>
    </w:rPr>
  </w:style>
  <w:style w:type="character" w:styleId="1047" w:customStyle="1">
    <w:name w:val="标准文本 Char"/>
    <w:uiPriority w:val="99"/>
    <w:qFormat/>
    <w:rPr>
      <w:rFonts w:eastAsia="宋体" w:cs="宋体"/>
      <w:sz w:val="24"/>
      <w:szCs w:val="24"/>
      <w:lang w:val="en-US" w:eastAsia="zh-CN" w:bidi="ar-SA"/>
    </w:rPr>
  </w:style>
  <w:style w:type="character" w:styleId="1048" w:customStyle="1">
    <w:name w:val="华宇段落1 Char Char Char"/>
    <w:uiPriority w:val="99"/>
    <w:qFormat/>
    <w:rPr>
      <w:rFonts w:eastAsia="宋体"/>
      <w:bCs/>
      <w:sz w:val="24"/>
      <w:szCs w:val="24"/>
      <w:lang w:val="en-US" w:eastAsia="zh-CN" w:bidi="ar-SA"/>
    </w:rPr>
  </w:style>
  <w:style w:type="character" w:styleId="1049" w:customStyle="1">
    <w:name w:val="小四 段落 宋体 Char Char Char Char Char"/>
    <w:uiPriority w:val="99"/>
    <w:qFormat/>
    <w:rPr>
      <w:rFonts w:eastAsia="宋体"/>
      <w:sz w:val="24"/>
      <w:szCs w:val="24"/>
      <w:lang w:val="en-US" w:eastAsia="zh-CN" w:bidi="ar-SA"/>
    </w:rPr>
  </w:style>
  <w:style w:type="character" w:styleId="1050" w:customStyle="1">
    <w:name w:val="Char Char2"/>
    <w:uiPriority w:val="99"/>
    <w:qFormat/>
    <w:rPr>
      <w:rFonts w:ascii="宋体" w:hAnsi="Courier New" w:eastAsia="宋体"/>
      <w:sz w:val="21"/>
      <w:szCs w:val="21"/>
      <w:lang w:val="en-US" w:eastAsia="zh-CN" w:bidi="ar-SA"/>
    </w:rPr>
  </w:style>
  <w:style w:type="character" w:styleId="1051" w:customStyle="1">
    <w:name w:val="小四 段落 宋体 Char Char Char Char1"/>
    <w:uiPriority w:val="99"/>
    <w:qFormat/>
    <w:rPr>
      <w:rFonts w:eastAsia="宋体"/>
      <w:sz w:val="24"/>
      <w:szCs w:val="24"/>
      <w:lang w:val="en-US" w:eastAsia="zh-CN" w:bidi="ar-SA"/>
    </w:rPr>
  </w:style>
  <w:style w:type="paragraph" w:styleId="1052" w:customStyle="1">
    <w:name w:val="新图表正文"/>
    <w:link w:val="1053"/>
    <w:uiPriority w:val="99"/>
    <w:qFormat/>
    <w:pPr>
      <w:jc w:val="both"/>
    </w:pPr>
    <w:rPr>
      <w:rFonts w:ascii="宋体" w:hAnsi="宋体" w:eastAsia="宋体" w:cs="Times New Roman"/>
      <w:sz w:val="18"/>
      <w:szCs w:val="21"/>
      <w:lang w:val="en-US" w:eastAsia="zh-CN" w:bidi="ar-SA"/>
    </w:rPr>
  </w:style>
  <w:style w:type="character" w:styleId="1053" w:customStyle="1">
    <w:name w:val="新图表正文 Char Char"/>
    <w:link w:val="1052"/>
    <w:uiPriority w:val="99"/>
    <w:qFormat/>
    <w:rPr>
      <w:rFonts w:ascii="宋体" w:hAnsi="宋体"/>
      <w:sz w:val="18"/>
      <w:szCs w:val="21"/>
    </w:rPr>
  </w:style>
  <w:style w:type="character" w:styleId="1054" w:customStyle="1">
    <w:name w:val="ih151"/>
    <w:uiPriority w:val="99"/>
    <w:qFormat/>
    <w:rPr>
      <w:color w:val="666666"/>
      <w:sz w:val="18"/>
      <w:szCs w:val="18"/>
      <w:u w:val="none"/>
    </w:rPr>
  </w:style>
  <w:style w:type="character" w:styleId="1055" w:customStyle="1">
    <w:name w:val="style131"/>
    <w:uiPriority w:val="99"/>
    <w:qFormat/>
    <w:rPr>
      <w:rFonts w:cs="Times New Roman"/>
      <w:sz w:val="18"/>
      <w:szCs w:val="18"/>
    </w:rPr>
  </w:style>
  <w:style w:type="paragraph" w:styleId="1056" w:customStyle="1">
    <w:name w:val="表格抬头"/>
    <w:basedOn w:val="722"/>
    <w:link w:val="1057"/>
    <w:uiPriority w:val="99"/>
    <w:qFormat/>
    <w:pPr>
      <w:jc w:val="center"/>
    </w:pPr>
    <w:rPr>
      <w:rFonts w:ascii="黑体" w:eastAsia="黑体"/>
      <w:b/>
    </w:rPr>
  </w:style>
  <w:style w:type="character" w:styleId="1057" w:customStyle="1">
    <w:name w:val="表格抬头 Char"/>
    <w:link w:val="1056"/>
    <w:uiPriority w:val="99"/>
    <w:qFormat/>
    <w:rPr>
      <w:rFonts w:ascii="黑体" w:eastAsia="黑体"/>
      <w:b/>
      <w:sz w:val="21"/>
    </w:rPr>
  </w:style>
  <w:style w:type="paragraph" w:styleId="1058" w:customStyle="1">
    <w:name w:val="111111"/>
    <w:basedOn w:val="722"/>
    <w:link w:val="1059"/>
    <w:uiPriority w:val="99"/>
    <w:qFormat/>
    <w:pPr>
      <w:jc w:val="center"/>
      <w:spacing w:before="120" w:after="120"/>
    </w:pPr>
    <w:rPr>
      <w:rFonts w:ascii="宋体" w:hAnsi="宋体" w:eastAsia="黑体" w:cs="宋体"/>
      <w:b/>
      <w:bCs/>
      <w:szCs w:val="21"/>
    </w:rPr>
  </w:style>
  <w:style w:type="character" w:styleId="1059" w:customStyle="1">
    <w:name w:val="111111 Char"/>
    <w:link w:val="1058"/>
    <w:uiPriority w:val="99"/>
    <w:qFormat/>
    <w:rPr>
      <w:rFonts w:ascii="宋体" w:hAnsi="宋体" w:eastAsia="黑体" w:cs="宋体"/>
      <w:b/>
      <w:bCs/>
      <w:sz w:val="21"/>
      <w:szCs w:val="21"/>
    </w:rPr>
  </w:style>
  <w:style w:type="character" w:styleId="1060" w:customStyle="1">
    <w:name w:val="Char Char24"/>
    <w:uiPriority w:val="99"/>
    <w:qFormat/>
    <w:rPr>
      <w:b/>
      <w:bCs/>
      <w:sz w:val="28"/>
      <w:szCs w:val="28"/>
    </w:rPr>
  </w:style>
  <w:style w:type="character" w:styleId="1061" w:customStyle="1">
    <w:name w:val="Char Char29"/>
    <w:uiPriority w:val="99"/>
    <w:qFormat/>
    <w:rPr>
      <w:rFonts w:ascii="Times New Roman" w:hAnsi="Times New Roman" w:eastAsia="宋体" w:cs="Times New Roman"/>
      <w:b/>
      <w:bCs/>
      <w:sz w:val="44"/>
      <w:szCs w:val="44"/>
    </w:rPr>
  </w:style>
  <w:style w:type="character" w:styleId="1062" w:customStyle="1">
    <w:name w:val="apple-converted-space"/>
    <w:basedOn w:val="732"/>
    <w:uiPriority w:val="99"/>
    <w:qFormat/>
  </w:style>
  <w:style w:type="character" w:styleId="1063" w:customStyle="1">
    <w:name w:val="小四 段落 宋体 Char Char Char Char Char Char Char Char"/>
    <w:uiPriority w:val="99"/>
    <w:qFormat/>
    <w:rPr>
      <w:rFonts w:eastAsia="宋体"/>
      <w:sz w:val="24"/>
      <w:szCs w:val="24"/>
      <w:lang w:val="en-US" w:eastAsia="zh-CN" w:bidi="ar-SA"/>
    </w:rPr>
  </w:style>
  <w:style w:type="character" w:styleId="1064" w:customStyle="1">
    <w:name w:val="Char Char26"/>
    <w:uiPriority w:val="99"/>
    <w:qFormat/>
    <w:rPr>
      <w:b/>
      <w:bCs/>
      <w:sz w:val="32"/>
      <w:szCs w:val="32"/>
    </w:rPr>
  </w:style>
  <w:style w:type="character" w:styleId="1065" w:customStyle="1">
    <w:name w:val="concon"/>
    <w:uiPriority w:val="99"/>
    <w:qFormat/>
  </w:style>
  <w:style w:type="character" w:styleId="1066" w:customStyle="1">
    <w:name w:val="样式 宋体 小四"/>
    <w:uiPriority w:val="99"/>
    <w:qFormat/>
    <w:rPr>
      <w:rFonts w:ascii="宋体" w:hAnsi="宋体"/>
      <w:sz w:val="24"/>
    </w:rPr>
  </w:style>
  <w:style w:type="character" w:styleId="1067" w:customStyle="1">
    <w:name w:val="content"/>
    <w:basedOn w:val="732"/>
    <w:uiPriority w:val="99"/>
    <w:qFormat/>
  </w:style>
  <w:style w:type="character" w:styleId="1068" w:customStyle="1">
    <w:name w:val="style13"/>
    <w:uiPriority w:val="99"/>
    <w:qFormat/>
    <w:rPr>
      <w:sz w:val="18"/>
      <w:szCs w:val="18"/>
    </w:rPr>
  </w:style>
  <w:style w:type="character" w:styleId="1069" w:customStyle="1">
    <w:name w:val="3zw"/>
    <w:basedOn w:val="732"/>
    <w:uiPriority w:val="99"/>
    <w:qFormat/>
  </w:style>
  <w:style w:type="character" w:styleId="1070" w:customStyle="1">
    <w:name w:val="listbenefit"/>
    <w:uiPriority w:val="99"/>
    <w:qFormat/>
  </w:style>
  <w:style w:type="character" w:styleId="1071" w:customStyle="1">
    <w:name w:val="正文 + 宋体 Char"/>
    <w:uiPriority w:val="99"/>
    <w:qFormat/>
    <w:rPr>
      <w:rFonts w:eastAsia="宋体"/>
      <w:sz w:val="21"/>
      <w:szCs w:val="24"/>
      <w:lang w:val="en-US" w:eastAsia="zh-CN" w:bidi="ar-SA"/>
    </w:rPr>
  </w:style>
  <w:style w:type="character" w:styleId="1072" w:customStyle="1">
    <w:name w:val="t1"/>
    <w:uiPriority w:val="99"/>
    <w:qFormat/>
  </w:style>
  <w:style w:type="character" w:styleId="1073" w:customStyle="1">
    <w:name w:val="Char Char17"/>
    <w:uiPriority w:val="99"/>
    <w:qFormat/>
    <w:rPr>
      <w:rFonts w:ascii="宋体" w:hAnsi="Courier New"/>
      <w:sz w:val="21"/>
      <w:szCs w:val="21"/>
    </w:rPr>
  </w:style>
  <w:style w:type="character" w:styleId="1074" w:customStyle="1">
    <w:name w:val="样式 首行缩进:  2 字符 Char"/>
    <w:uiPriority w:val="99"/>
    <w:qFormat/>
    <w:rPr>
      <w:rFonts w:eastAsia="宋体" w:cs="宋体"/>
      <w:sz w:val="24"/>
      <w:lang w:val="en-US" w:eastAsia="zh-CN" w:bidi="ar-SA"/>
    </w:rPr>
  </w:style>
  <w:style w:type="character" w:styleId="1075" w:customStyle="1">
    <w:name w:val="2nd level Char"/>
    <w:uiPriority w:val="99"/>
    <w:qFormat/>
    <w:rPr>
      <w:rFonts w:ascii="Arial" w:hAnsi="Arial" w:eastAsia="黑体"/>
      <w:b/>
      <w:bCs/>
      <w:sz w:val="32"/>
      <w:szCs w:val="32"/>
      <w:lang w:val="en-US" w:eastAsia="zh-CN" w:bidi="ar-SA"/>
    </w:rPr>
  </w:style>
  <w:style w:type="character" w:styleId="1076" w:customStyle="1">
    <w:name w:val="纯文本 Char1"/>
    <w:uiPriority w:val="99"/>
    <w:qFormat/>
    <w:rPr>
      <w:rFonts w:ascii="宋体" w:hAnsi="Courier New" w:cs="Courier New"/>
      <w:sz w:val="21"/>
      <w:szCs w:val="21"/>
    </w:rPr>
  </w:style>
  <w:style w:type="paragraph" w:styleId="1077" w:customStyle="1">
    <w:name w:val="样式 首行缩进:  2 字符"/>
    <w:basedOn w:val="722"/>
    <w:link w:val="1078"/>
    <w:uiPriority w:val="99"/>
    <w:qFormat/>
    <w:pPr>
      <w:ind w:firstLine="480"/>
      <w:spacing w:line="360" w:lineRule="auto"/>
    </w:pPr>
    <w:rPr>
      <w:rFonts w:cs="宋体"/>
      <w:sz w:val="24"/>
    </w:rPr>
  </w:style>
  <w:style w:type="character" w:styleId="1078" w:customStyle="1">
    <w:name w:val="样式 首行缩进:  2 字符 Char Char"/>
    <w:link w:val="1077"/>
    <w:uiPriority w:val="99"/>
    <w:qFormat/>
    <w:rPr>
      <w:rFonts w:cs="宋体"/>
      <w:sz w:val="24"/>
    </w:rPr>
  </w:style>
  <w:style w:type="character" w:styleId="1079" w:customStyle="1">
    <w:name w:val="Char Char27"/>
    <w:uiPriority w:val="99"/>
    <w:qFormat/>
    <w:rPr>
      <w:b/>
      <w:bCs/>
      <w:sz w:val="44"/>
      <w:szCs w:val="44"/>
    </w:rPr>
  </w:style>
  <w:style w:type="character" w:styleId="1080" w:customStyle="1">
    <w:name w:val="标题 Char1"/>
    <w:uiPriority w:val="99"/>
    <w:qFormat/>
    <w:rPr>
      <w:rFonts w:ascii="Cambria" w:eastAsia="宋体" w:cs="Times New Roman"/>
      <w:b/>
      <w:bCs/>
      <w:sz w:val="32"/>
      <w:szCs w:val="32"/>
    </w:rPr>
  </w:style>
  <w:style w:type="character" w:styleId="1081" w:customStyle="1">
    <w:name w:val="normalfont1"/>
    <w:uiPriority w:val="99"/>
    <w:qFormat/>
    <w:rPr>
      <w:rFonts w:hint="default" w:ascii="ˎ̥" w:hAnsi="ˎ̥"/>
      <w:sz w:val="18"/>
      <w:szCs w:val="18"/>
      <w:u w:val="none"/>
    </w:rPr>
  </w:style>
  <w:style w:type="character" w:styleId="1082" w:customStyle="1">
    <w:name w:val="A2"/>
    <w:uiPriority w:val="99"/>
    <w:qFormat/>
    <w:rPr>
      <w:rFonts w:cs="Helvetica"/>
      <w:color w:val="000000"/>
      <w:sz w:val="18"/>
      <w:szCs w:val="18"/>
    </w:rPr>
  </w:style>
  <w:style w:type="character" w:styleId="1083" w:customStyle="1">
    <w:name w:val="content_lineheight1"/>
    <w:basedOn w:val="732"/>
    <w:uiPriority w:val="99"/>
    <w:qFormat/>
  </w:style>
  <w:style w:type="character" w:styleId="1084" w:customStyle="1">
    <w:name w:val="Char Char22"/>
    <w:uiPriority w:val="99"/>
    <w:qFormat/>
    <w:rPr>
      <w:b/>
      <w:bCs/>
      <w:sz w:val="24"/>
      <w:szCs w:val="24"/>
    </w:rPr>
  </w:style>
  <w:style w:type="character" w:styleId="1085" w:customStyle="1">
    <w:name w:val="明显强调1"/>
    <w:uiPriority w:val="99"/>
    <w:qFormat/>
    <w:rPr>
      <w:b/>
      <w:bCs/>
    </w:rPr>
  </w:style>
  <w:style w:type="character" w:styleId="1086" w:customStyle="1">
    <w:name w:val="param-value"/>
    <w:basedOn w:val="732"/>
    <w:uiPriority w:val="99"/>
    <w:qFormat/>
  </w:style>
  <w:style w:type="character" w:styleId="1087" w:customStyle="1">
    <w:name w:val="普通文字1 Char"/>
    <w:uiPriority w:val="99"/>
    <w:qFormat/>
    <w:rPr>
      <w:rFonts w:ascii="宋体" w:eastAsia="宋体"/>
      <w:sz w:val="21"/>
      <w:szCs w:val="21"/>
      <w:lang w:val="en-US" w:eastAsia="zh-CN" w:bidi="ar-SA"/>
    </w:rPr>
  </w:style>
  <w:style w:type="character" w:styleId="1088" w:customStyle="1">
    <w:name w:val="标准小四 Char Char"/>
    <w:uiPriority w:val="99"/>
    <w:qFormat/>
    <w:rPr>
      <w:rFonts w:ascii="Arial" w:hAnsi="Arial" w:eastAsia="宋体"/>
      <w:sz w:val="24"/>
      <w:szCs w:val="21"/>
      <w:lang w:val="en-US" w:eastAsia="zh-CN" w:bidi="ar-SA"/>
    </w:rPr>
  </w:style>
  <w:style w:type="character" w:styleId="1089" w:customStyle="1">
    <w:name w:val="不明显参考1"/>
    <w:uiPriority w:val="99"/>
    <w:qFormat/>
    <w:rPr>
      <w:smallCaps/>
    </w:rPr>
  </w:style>
  <w:style w:type="paragraph" w:styleId="1090" w:customStyle="1">
    <w:name w:val="1"/>
    <w:basedOn w:val="722"/>
    <w:next w:val="780"/>
    <w:uiPriority w:val="99"/>
    <w:qFormat/>
    <w:pPr>
      <w:spacing w:line="360" w:lineRule="auto"/>
    </w:pPr>
    <w:rPr>
      <w:rFonts w:eastAsia="仿宋_GB2312"/>
      <w:sz w:val="24"/>
      <w:szCs w:val="24"/>
    </w:rPr>
  </w:style>
  <w:style w:type="paragraph" w:styleId="1091" w:customStyle="1">
    <w:name w:val="正文文本 21"/>
    <w:basedOn w:val="722"/>
    <w:uiPriority w:val="0"/>
    <w:qFormat/>
    <w:pPr>
      <w:ind w:left="720" w:hanging="720"/>
      <w:widowControl/>
    </w:pPr>
    <w:rPr>
      <w:sz w:val="24"/>
      <w:lang w:val="en-GB"/>
    </w:rPr>
  </w:style>
  <w:style w:type="paragraph" w:styleId="1092" w:customStyle="1">
    <w:name w:val="font9"/>
    <w:basedOn w:val="722"/>
    <w:uiPriority w:val="99"/>
    <w:qFormat/>
    <w:pPr>
      <w:jc w:val="left"/>
      <w:spacing w:before="100" w:beforeAutospacing="1" w:after="100" w:afterAutospacing="1"/>
      <w:widowControl/>
    </w:pPr>
    <w:rPr>
      <w:b/>
      <w:bCs/>
      <w:sz w:val="20"/>
    </w:rPr>
  </w:style>
  <w:style w:type="paragraph" w:styleId="1093" w:customStyle="1">
    <w:name w:val="Char Char1"/>
    <w:basedOn w:val="722"/>
    <w:uiPriority w:val="99"/>
    <w:qFormat/>
    <w:rPr>
      <w:rFonts w:ascii="Tahoma" w:hAnsi="Tahoma" w:cs="Tahoma"/>
      <w:sz w:val="24"/>
    </w:rPr>
  </w:style>
  <w:style w:type="paragraph" w:styleId="1094" w:customStyle="1">
    <w:name w:val="章标题"/>
    <w:next w:val="1095"/>
    <w:uiPriority w:val="99"/>
    <w:qFormat/>
    <w:pPr>
      <w:jc w:val="both"/>
      <w:outlineLvl w:val="1"/>
    </w:pPr>
    <w:rPr>
      <w:rFonts w:ascii="Times New Roman" w:hAnsi="Times New Roman" w:eastAsia="黑体" w:cs="Times New Roman"/>
      <w:sz w:val="21"/>
      <w:lang w:val="en-US" w:eastAsia="zh-CN" w:bidi="ar-SA"/>
    </w:rPr>
  </w:style>
  <w:style w:type="paragraph" w:styleId="1095" w:customStyle="1">
    <w:name w:val="段"/>
    <w:uiPriority w:val="99"/>
    <w:qFormat/>
    <w:pPr>
      <w:ind w:firstLine="200"/>
      <w:jc w:val="both"/>
    </w:pPr>
    <w:rPr>
      <w:rFonts w:ascii="宋体" w:hAnsi="Times New Roman" w:eastAsia="宋体" w:cs="Times New Roman"/>
      <w:sz w:val="21"/>
      <w:lang w:val="en-US" w:eastAsia="zh-CN" w:bidi="ar-SA"/>
    </w:rPr>
  </w:style>
  <w:style w:type="paragraph" w:styleId="1096" w:customStyle="1">
    <w:name w:val="zw"/>
    <w:basedOn w:val="722"/>
    <w:uiPriority w:val="99"/>
    <w:qFormat/>
    <w:pPr>
      <w:ind w:firstLine="480"/>
      <w:jc w:val="left"/>
      <w:spacing w:line="360" w:lineRule="auto"/>
      <w:widowControl/>
    </w:pPr>
    <w:rPr>
      <w:rFonts w:ascii="宋体" w:hAnsi="宋体"/>
      <w:bCs/>
      <w:sz w:val="24"/>
    </w:rPr>
  </w:style>
  <w:style w:type="paragraph" w:styleId="1097" w:customStyle="1">
    <w:name w:val="xl60"/>
    <w:basedOn w:val="72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8" w:customStyle="1">
    <w:name w:val="表格文字"/>
    <w:basedOn w:val="722"/>
    <w:uiPriority w:val="99"/>
    <w:qFormat/>
    <w:pPr>
      <w:ind w:firstLine="200"/>
      <w:jc w:val="left"/>
      <w:spacing w:line="360" w:lineRule="auto"/>
    </w:pPr>
    <w:rPr>
      <w:rFonts w:ascii="Arial" w:hAnsi="Arial"/>
      <w:sz w:val="24"/>
    </w:rPr>
  </w:style>
  <w:style w:type="paragraph" w:styleId="1099" w:customStyle="1">
    <w:name w:val="xl43"/>
    <w:basedOn w:val="7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00" w:customStyle="1">
    <w:name w:val="xl49"/>
    <w:basedOn w:val="722"/>
    <w:uiPriority w:val="99"/>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1" w:customStyle="1">
    <w:name w:val="xl61"/>
    <w:basedOn w:val="72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2" w:customStyle="1">
    <w:name w:val="小四 段落 宋体 Char Char"/>
    <w:basedOn w:val="722"/>
    <w:uiPriority w:val="99"/>
    <w:qFormat/>
    <w:pPr>
      <w:ind w:firstLine="480"/>
      <w:spacing w:line="360" w:lineRule="auto"/>
    </w:pPr>
    <w:rPr>
      <w:rFonts w:ascii="宋体" w:hAnsi="宋体"/>
      <w:sz w:val="24"/>
      <w:szCs w:val="24"/>
    </w:rPr>
  </w:style>
  <w:style w:type="paragraph" w:styleId="1103" w:customStyle="1">
    <w:name w:val="xl57"/>
    <w:basedOn w:val="72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4" w:customStyle="1">
    <w:name w:val="Char Char Char"/>
    <w:basedOn w:val="722"/>
    <w:uiPriority w:val="99"/>
    <w:qFormat/>
    <w:rPr>
      <w:rFonts w:ascii="Tahoma" w:hAnsi="Tahoma"/>
      <w:sz w:val="24"/>
    </w:rPr>
  </w:style>
  <w:style w:type="paragraph" w:styleId="1105" w:customStyle="1">
    <w:name w:val="Char Char Char Char Char Char Char1 Char"/>
    <w:basedOn w:val="722"/>
    <w:uiPriority w:val="99"/>
    <w:qFormat/>
    <w:rPr>
      <w:rFonts w:ascii="Tahoma" w:hAnsi="Tahoma" w:cs="Tahoma"/>
      <w:sz w:val="24"/>
    </w:rPr>
  </w:style>
  <w:style w:type="paragraph" w:styleId="1106" w:customStyle="1">
    <w:name w:val="Pa6"/>
    <w:basedOn w:val="722"/>
    <w:next w:val="722"/>
    <w:uiPriority w:val="99"/>
    <w:qFormat/>
    <w:pPr>
      <w:jc w:val="left"/>
      <w:spacing w:line="241" w:lineRule="atLeast"/>
    </w:pPr>
    <w:rPr>
      <w:rFonts w:ascii="HYDaHeiJ" w:eastAsia="HYDaHeiJ"/>
      <w:sz w:val="24"/>
      <w:szCs w:val="24"/>
    </w:rPr>
  </w:style>
  <w:style w:type="paragraph" w:styleId="1107" w:customStyle="1">
    <w:name w:val="标题3，章节第三层"/>
    <w:basedOn w:val="722"/>
    <w:next w:val="1108"/>
    <w:uiPriority w:val="99"/>
    <w:qFormat/>
    <w:pPr>
      <w:spacing w:before="78" w:line="300" w:lineRule="auto"/>
      <w:outlineLvl w:val="2"/>
    </w:pPr>
    <w:rPr>
      <w:rFonts w:ascii="Arial" w:hAnsi="Arial" w:eastAsia="华文细黑"/>
      <w:sz w:val="30"/>
      <w:szCs w:val="24"/>
    </w:rPr>
  </w:style>
  <w:style w:type="paragraph" w:styleId="1108" w:customStyle="1">
    <w:name w:val="正文格式"/>
    <w:basedOn w:val="722"/>
    <w:uiPriority w:val="99"/>
    <w:qFormat/>
    <w:pPr>
      <w:ind w:left="178" w:right="44" w:hanging="178"/>
      <w:jc w:val="left"/>
      <w:spacing w:line="360" w:lineRule="auto"/>
      <w:widowControl/>
    </w:pPr>
    <w:rPr>
      <w:rFonts w:ascii="宋体" w:hAnsi="宋体"/>
      <w:bCs/>
      <w:szCs w:val="21"/>
    </w:rPr>
  </w:style>
  <w:style w:type="paragraph" w:styleId="1109" w:customStyle="1">
    <w:name w:val="xl54"/>
    <w:basedOn w:val="72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10" w:customStyle="1">
    <w:name w:val="xl46"/>
    <w:basedOn w:val="72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11" w:customStyle="1">
    <w:name w:val="xl52"/>
    <w:basedOn w:val="72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2" w:customStyle="1">
    <w:name w:val="Item Step in Table"/>
    <w:uiPriority w:val="99"/>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113" w:customStyle="1">
    <w:name w:val="项目符号：一级"/>
    <w:basedOn w:val="1108"/>
    <w:next w:val="1108"/>
    <w:uiPriority w:val="99"/>
    <w:qFormat/>
    <w:pPr>
      <w:ind w:right="-134"/>
    </w:pPr>
    <w:rPr>
      <w:bCs w:val="0"/>
    </w:rPr>
  </w:style>
  <w:style w:type="paragraph" w:styleId="1114" w:customStyle="1">
    <w:name w:val="小四 段落 宋体 Char"/>
    <w:basedOn w:val="740"/>
    <w:uiPriority w:val="99"/>
    <w:qFormat/>
    <w:pPr>
      <w:ind w:left="0" w:right="-33" w:firstLine="600"/>
      <w:jc w:val="left"/>
      <w:tabs>
        <w:tab w:val="clear" w:pos="2952" w:leader="none"/>
      </w:tabs>
    </w:pPr>
    <w:rPr>
      <w:rFonts w:ascii="仿宋_GB2312" w:eastAsia="仿宋_GB2312"/>
      <w:sz w:val="30"/>
      <w:szCs w:val="30"/>
    </w:rPr>
  </w:style>
  <w:style w:type="paragraph" w:styleId="1115" w:customStyle="1">
    <w:name w:val="Char Char Char Char Char Char Char Char Char Char Char Char Char Char Char Char Char Char Char Char Char"/>
    <w:basedOn w:val="722"/>
    <w:uiPriority w:val="99"/>
    <w:qFormat/>
    <w:rPr>
      <w:rFonts w:ascii="Tahoma" w:hAnsi="Tahoma"/>
      <w:sz w:val="24"/>
    </w:rPr>
  </w:style>
  <w:style w:type="paragraph" w:styleId="1116" w:customStyle="1">
    <w:name w:val="Char11"/>
    <w:basedOn w:val="722"/>
    <w:uiPriority w:val="99"/>
    <w:semiHidden/>
    <w:qFormat/>
    <w:rPr>
      <w:rFonts w:ascii="Tahoma" w:hAnsi="Tahoma" w:cs="仿宋_GB2312"/>
      <w:sz w:val="24"/>
      <w:szCs w:val="28"/>
    </w:rPr>
  </w:style>
  <w:style w:type="paragraph" w:styleId="1117" w:customStyle="1">
    <w:name w:val="xl48"/>
    <w:basedOn w:val="72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18" w:customStyle="1">
    <w:name w:val="font14"/>
    <w:basedOn w:val="722"/>
    <w:uiPriority w:val="99"/>
    <w:qFormat/>
    <w:pPr>
      <w:jc w:val="left"/>
      <w:spacing w:before="100" w:beforeAutospacing="1" w:after="100" w:afterAutospacing="1"/>
      <w:widowControl/>
    </w:pPr>
    <w:rPr>
      <w:sz w:val="36"/>
      <w:szCs w:val="36"/>
    </w:rPr>
  </w:style>
  <w:style w:type="paragraph" w:styleId="1119" w:customStyle="1">
    <w:name w:val="Char Char Char Char Char"/>
    <w:basedOn w:val="722"/>
    <w:uiPriority w:val="99"/>
    <w:qFormat/>
    <w:rPr>
      <w:rFonts w:ascii="Tahoma" w:hAnsi="Tahoma"/>
      <w:sz w:val="24"/>
    </w:rPr>
  </w:style>
  <w:style w:type="paragraph" w:styleId="1120" w:customStyle="1">
    <w:name w:val="表格内文字"/>
    <w:basedOn w:val="722"/>
    <w:uiPriority w:val="99"/>
    <w:qFormat/>
    <w:pPr>
      <w:spacing w:line="300" w:lineRule="atLeast"/>
    </w:pPr>
    <w:rPr>
      <w:sz w:val="18"/>
      <w:szCs w:val="24"/>
    </w:rPr>
  </w:style>
  <w:style w:type="paragraph" w:styleId="1121" w:customStyle="1">
    <w:name w:val="xl34"/>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2" w:customStyle="1">
    <w:name w:val="Char Char Char Char Char1"/>
    <w:basedOn w:val="722"/>
    <w:uiPriority w:val="99"/>
    <w:qFormat/>
    <w:rPr>
      <w:rFonts w:ascii="Tahoma" w:hAnsi="Tahoma" w:cs="Tahoma"/>
      <w:sz w:val="24"/>
    </w:rPr>
  </w:style>
  <w:style w:type="paragraph" w:styleId="1123" w:customStyle="1">
    <w:name w:val="Char Char Char Char Char Char Char Char Char Char Char Char Char Char Char Char Char Char Char Char Char1"/>
    <w:basedOn w:val="722"/>
    <w:uiPriority w:val="99"/>
    <w:qFormat/>
    <w:rPr>
      <w:rFonts w:ascii="Tahoma" w:hAnsi="Tahoma" w:cs="Tahoma"/>
      <w:sz w:val="24"/>
    </w:rPr>
  </w:style>
  <w:style w:type="paragraph" w:styleId="1124" w:customStyle="1">
    <w:name w:val="xl35"/>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25" w:customStyle="1">
    <w:name w:val="flName"/>
    <w:basedOn w:val="1126"/>
    <w:uiPriority w:val="99"/>
    <w:qFormat/>
    <w:pPr>
      <w:spacing w:before="0" w:line="113" w:lineRule="atLeast"/>
    </w:pPr>
  </w:style>
  <w:style w:type="paragraph" w:styleId="1126" w:customStyle="1">
    <w:name w:val="flNote"/>
    <w:basedOn w:val="722"/>
    <w:uiPriority w:val="99"/>
    <w:qFormat/>
    <w:pPr>
      <w:jc w:val="center"/>
      <w:spacing w:before="567" w:line="360" w:lineRule="atLeast"/>
    </w:pPr>
    <w:rPr>
      <w:rFonts w:eastAsia="黑体"/>
      <w:b/>
      <w:sz w:val="24"/>
    </w:rPr>
  </w:style>
  <w:style w:type="paragraph" w:styleId="1127" w:customStyle="1">
    <w:name w:val="华宇段落1 Char"/>
    <w:basedOn w:val="722"/>
    <w:uiPriority w:val="99"/>
    <w:qFormat/>
    <w:pPr>
      <w:ind w:firstLine="200"/>
      <w:spacing w:line="360" w:lineRule="auto"/>
    </w:pPr>
    <w:rPr>
      <w:bCs/>
      <w:sz w:val="24"/>
      <w:szCs w:val="24"/>
    </w:rPr>
  </w:style>
  <w:style w:type="paragraph" w:styleId="1128" w:customStyle="1">
    <w:name w:val="Char Char Char Char Char Char Char Char Char Char Char Char Char"/>
    <w:basedOn w:val="743"/>
    <w:uiPriority w:val="99"/>
    <w:qFormat/>
    <w:rPr>
      <w:rFonts w:ascii="Tahoma" w:hAnsi="Tahoma"/>
      <w:sz w:val="24"/>
      <w:szCs w:val="24"/>
    </w:rPr>
  </w:style>
  <w:style w:type="paragraph" w:styleId="1129" w:customStyle="1">
    <w:name w:val="我的正文"/>
    <w:basedOn w:val="722"/>
    <w:uiPriority w:val="99"/>
    <w:qFormat/>
    <w:pPr>
      <w:ind w:firstLine="420"/>
      <w:jc w:val="left"/>
      <w:spacing w:line="360" w:lineRule="auto"/>
      <w:widowControl/>
    </w:pPr>
    <w:rPr>
      <w:rFonts w:ascii="宋体" w:hAnsi="宋体" w:cs="宋体"/>
      <w:szCs w:val="21"/>
    </w:rPr>
  </w:style>
  <w:style w:type="paragraph" w:styleId="1130" w:customStyle="1">
    <w:name w:val="Char Char Char Char Char Char Char Char Char Char Char Char Char1"/>
    <w:basedOn w:val="722"/>
    <w:uiPriority w:val="99"/>
    <w:qFormat/>
    <w:pPr>
      <w:jc w:val="left"/>
      <w:spacing w:after="160" w:line="240" w:lineRule="exact"/>
      <w:widowControl/>
    </w:pPr>
    <w:rPr>
      <w:szCs w:val="24"/>
    </w:rPr>
  </w:style>
  <w:style w:type="paragraph" w:styleId="1131"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132" w:customStyle="1">
    <w:name w:val="xl58"/>
    <w:basedOn w:val="722"/>
    <w:uiPriority w:val="99"/>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33" w:customStyle="1">
    <w:name w:val="无间隔1"/>
    <w:uiPriority w:val="99"/>
    <w:qFormat/>
    <w:pPr>
      <w:jc w:val="both"/>
      <w:widowControl w:val="off"/>
    </w:pPr>
    <w:rPr>
      <w:rFonts w:ascii="Calibri" w:hAnsi="Calibri" w:eastAsia="微软雅黑" w:cs="Times New Roman"/>
      <w:sz w:val="24"/>
      <w:szCs w:val="22"/>
      <w:lang w:val="en-US" w:eastAsia="zh-CN" w:bidi="ar-SA"/>
    </w:rPr>
  </w:style>
  <w:style w:type="paragraph" w:styleId="1134" w:customStyle="1">
    <w:name w:val="a0"/>
    <w:basedOn w:val="722"/>
    <w:uiPriority w:val="99"/>
    <w:qFormat/>
    <w:pPr>
      <w:spacing w:before="100" w:beforeAutospacing="1" w:after="100" w:afterAutospacing="1"/>
      <w:widowControl/>
    </w:pPr>
    <w:rPr>
      <w:rFonts w:ascii="宋体" w:hAnsi="宋体" w:cs="宋体"/>
      <w:sz w:val="24"/>
      <w:szCs w:val="24"/>
    </w:rPr>
  </w:style>
  <w:style w:type="paragraph" w:styleId="1135" w:customStyle="1">
    <w:name w:val="标准小四"/>
    <w:basedOn w:val="722"/>
    <w:uiPriority w:val="99"/>
    <w:qFormat/>
    <w:pPr>
      <w:ind w:firstLine="480"/>
      <w:spacing w:line="360" w:lineRule="auto"/>
    </w:pPr>
    <w:rPr>
      <w:rFonts w:ascii="Arial" w:hAnsi="Arial"/>
      <w:sz w:val="24"/>
      <w:szCs w:val="21"/>
    </w:rPr>
  </w:style>
  <w:style w:type="paragraph" w:styleId="1136" w:customStyle="1">
    <w:name w:val="Default Text"/>
    <w:basedOn w:val="722"/>
    <w:uiPriority w:val="99"/>
    <w:qFormat/>
    <w:pPr>
      <w:jc w:val="left"/>
      <w:widowControl/>
    </w:pPr>
    <w:rPr>
      <w:sz w:val="24"/>
      <w:lang w:eastAsia="en-US"/>
    </w:rPr>
  </w:style>
  <w:style w:type="paragraph" w:styleId="1137"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138" w:customStyle="1">
    <w:name w:val="插图"/>
    <w:basedOn w:val="722"/>
    <w:uiPriority w:val="99"/>
    <w:qFormat/>
    <w:pPr>
      <w:jc w:val="center"/>
      <w:tabs>
        <w:tab w:val="left" w:pos="1620" w:leader="none"/>
      </w:tabs>
    </w:pPr>
    <w:rPr>
      <w:bCs/>
      <w:color w:val="000000"/>
      <w:szCs w:val="22"/>
    </w:rPr>
  </w:style>
  <w:style w:type="paragraph" w:styleId="1139" w:customStyle="1">
    <w:name w:val="xl40"/>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40" w:customStyle="1">
    <w:name w:val="正文 首行缩进:  2 字符 Char Char"/>
    <w:basedOn w:val="722"/>
    <w:uiPriority w:val="99"/>
    <w:qFormat/>
    <w:pPr>
      <w:ind w:firstLine="480"/>
      <w:spacing w:line="360" w:lineRule="auto"/>
    </w:pPr>
    <w:rPr>
      <w:rFonts w:ascii="楷体_GB2312" w:eastAsia="楷体_GB2312"/>
      <w:bCs/>
      <w:sz w:val="24"/>
      <w:szCs w:val="24"/>
    </w:rPr>
  </w:style>
  <w:style w:type="paragraph" w:styleId="1141" w:customStyle="1">
    <w:name w:val="段落"/>
    <w:basedOn w:val="722"/>
    <w:uiPriority w:val="99"/>
    <w:qFormat/>
    <w:pPr>
      <w:ind w:firstLine="480"/>
      <w:spacing w:line="460" w:lineRule="exact"/>
    </w:pPr>
    <w:rPr>
      <w:sz w:val="24"/>
    </w:rPr>
  </w:style>
  <w:style w:type="paragraph" w:styleId="1142" w:customStyle="1">
    <w:name w:val="（RZM政采）正文-首行缩进2"/>
    <w:basedOn w:val="722"/>
    <w:uiPriority w:val="0"/>
    <w:qFormat/>
    <w:pPr>
      <w:ind w:firstLine="200"/>
      <w:spacing w:line="360" w:lineRule="auto"/>
    </w:pPr>
    <w:rPr>
      <w:rFonts w:ascii="宋体" w:hAnsi="宋体"/>
      <w:szCs w:val="21"/>
      <w:lang w:val="zh-CN"/>
    </w:rPr>
  </w:style>
  <w:style w:type="paragraph" w:styleId="1143" w:customStyle="1">
    <w:name w:val="符号与编号"/>
    <w:basedOn w:val="722"/>
    <w:uiPriority w:val="99"/>
    <w:qFormat/>
    <w:pPr>
      <w:ind w:left="900" w:hanging="420"/>
      <w:spacing w:line="400" w:lineRule="atLeast"/>
      <w:tabs>
        <w:tab w:val="left" w:pos="900" w:leader="none"/>
      </w:tabs>
    </w:pPr>
    <w:rPr>
      <w:sz w:val="24"/>
      <w:szCs w:val="24"/>
    </w:rPr>
  </w:style>
  <w:style w:type="paragraph" w:styleId="1144" w:customStyle="1">
    <w:name w:val="Pa5"/>
    <w:basedOn w:val="722"/>
    <w:next w:val="722"/>
    <w:uiPriority w:val="99"/>
    <w:qFormat/>
    <w:pPr>
      <w:jc w:val="left"/>
      <w:spacing w:line="241" w:lineRule="atLeast"/>
    </w:pPr>
    <w:rPr>
      <w:rFonts w:ascii="HYDaHeiJ" w:eastAsia="HYDaHeiJ"/>
      <w:sz w:val="24"/>
      <w:szCs w:val="24"/>
    </w:rPr>
  </w:style>
  <w:style w:type="paragraph" w:styleId="1145" w:customStyle="1">
    <w:name w:val="xl51"/>
    <w:basedOn w:val="72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46" w:customStyle="1">
    <w:name w:val="xl47"/>
    <w:basedOn w:val="7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47" w:customStyle="1">
    <w:name w:val="公文正文"/>
    <w:basedOn w:val="749"/>
    <w:uiPriority w:val="99"/>
    <w:qFormat/>
    <w:pPr>
      <w:ind w:firstLine="200"/>
    </w:pPr>
    <w:rPr>
      <w:rFonts w:ascii="仿宋_GB2312" w:hAnsi="宋体" w:eastAsia="仿宋_GB2312"/>
      <w:sz w:val="28"/>
      <w:szCs w:val="24"/>
    </w:rPr>
  </w:style>
  <w:style w:type="paragraph" w:styleId="1148" w:customStyle="1">
    <w:name w:val="xl38"/>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9" w:customStyle="1">
    <w:name w:val="xl44"/>
    <w:basedOn w:val="72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50"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151" w:customStyle="1">
    <w:name w:val="xl42"/>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2" w:customStyle="1">
    <w:name w:val="正文文本 New New"/>
    <w:basedOn w:val="722"/>
    <w:uiPriority w:val="0"/>
    <w:qFormat/>
    <w:pPr>
      <w:ind w:firstLine="200"/>
      <w:spacing w:before="60" w:after="60" w:line="360" w:lineRule="auto"/>
      <w:widowControl/>
    </w:pPr>
    <w:rPr>
      <w:rFonts w:eastAsia="华文楷体"/>
      <w:sz w:val="24"/>
      <w:szCs w:val="24"/>
    </w:rPr>
  </w:style>
  <w:style w:type="paragraph" w:styleId="1153" w:customStyle="1">
    <w:name w:val="Char Char Char Char Char Char"/>
    <w:basedOn w:val="722"/>
    <w:uiPriority w:val="99"/>
    <w:qFormat/>
    <w:rPr>
      <w:rFonts w:ascii="Tahoma" w:hAnsi="Tahoma" w:cs="Tahoma"/>
      <w:sz w:val="24"/>
    </w:rPr>
  </w:style>
  <w:style w:type="paragraph" w:styleId="1154" w:customStyle="1">
    <w:name w:val="font8"/>
    <w:basedOn w:val="722"/>
    <w:uiPriority w:val="99"/>
    <w:qFormat/>
    <w:pPr>
      <w:jc w:val="left"/>
      <w:spacing w:before="100" w:beforeAutospacing="1" w:after="100" w:afterAutospacing="1"/>
      <w:widowControl/>
    </w:pPr>
    <w:rPr>
      <w:rFonts w:ascii="宋体" w:hAnsi="宋体" w:cs="宋体"/>
      <w:b/>
      <w:bCs/>
      <w:i/>
      <w:iCs/>
      <w:sz w:val="20"/>
    </w:rPr>
  </w:style>
  <w:style w:type="paragraph" w:styleId="1155" w:customStyle="1">
    <w:name w:val="符号与编号 Char Char"/>
    <w:basedOn w:val="722"/>
    <w:uiPriority w:val="99"/>
    <w:qFormat/>
    <w:pPr>
      <w:ind w:left="839" w:hanging="419"/>
      <w:spacing w:line="400" w:lineRule="atLeast"/>
      <w:tabs>
        <w:tab w:val="left" w:pos="840" w:leader="none"/>
      </w:tabs>
    </w:pPr>
    <w:rPr>
      <w:sz w:val="24"/>
      <w:szCs w:val="24"/>
    </w:rPr>
  </w:style>
  <w:style w:type="paragraph" w:styleId="1156" w:customStyle="1">
    <w:name w:val="正文文本 22"/>
    <w:basedOn w:val="722"/>
    <w:uiPriority w:val="0"/>
    <w:qFormat/>
    <w:pPr>
      <w:ind w:left="720" w:hanging="720"/>
      <w:widowControl/>
    </w:pPr>
    <w:rPr>
      <w:sz w:val="24"/>
      <w:lang w:val="en-GB"/>
    </w:rPr>
  </w:style>
  <w:style w:type="paragraph" w:styleId="1157" w:customStyle="1">
    <w:name w:val="tableau"/>
    <w:basedOn w:val="722"/>
    <w:uiPriority w:val="99"/>
    <w:qFormat/>
    <w:pPr>
      <w:jc w:val="center"/>
      <w:spacing w:before="20" w:after="20"/>
      <w:widowControl/>
    </w:pPr>
    <w:rPr>
      <w:rFonts w:ascii="Arial" w:hAnsi="Arial"/>
      <w:sz w:val="16"/>
      <w:lang w:val="en-GB" w:eastAsia="en-US"/>
    </w:rPr>
  </w:style>
  <w:style w:type="paragraph" w:styleId="1158" w:customStyle="1">
    <w:name w:val="xl53"/>
    <w:basedOn w:val="72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59" w:customStyle="1">
    <w:name w:val="符号与编号 Char"/>
    <w:basedOn w:val="722"/>
    <w:uiPriority w:val="99"/>
    <w:qFormat/>
    <w:pPr>
      <w:ind w:left="720"/>
      <w:spacing w:line="400" w:lineRule="atLeast"/>
      <w:tabs>
        <w:tab w:val="left" w:pos="720" w:leader="none"/>
      </w:tabs>
    </w:pPr>
    <w:rPr>
      <w:sz w:val="24"/>
      <w:szCs w:val="24"/>
    </w:rPr>
  </w:style>
  <w:style w:type="paragraph" w:styleId="1160" w:customStyle="1">
    <w:name w:val="Char Char1 Char Char Char Char1 Char Char Char Char Char Char"/>
    <w:basedOn w:val="722"/>
    <w:uiPriority w:val="99"/>
    <w:qFormat/>
    <w:rPr>
      <w:rFonts w:ascii="Tahoma" w:hAnsi="Tahoma"/>
      <w:sz w:val="24"/>
    </w:rPr>
  </w:style>
  <w:style w:type="paragraph" w:styleId="1161" w:customStyle="1">
    <w:name w:val="正文1"/>
    <w:basedOn w:val="722"/>
    <w:uiPriority w:val="99"/>
    <w:qFormat/>
    <w:rPr>
      <w:rFonts w:ascii="Calibri" w:hAnsi="Calibri" w:eastAsia="Calibri" w:cs="宋体"/>
      <w:lang w:val="zh-CN"/>
    </w:rPr>
  </w:style>
  <w:style w:type="paragraph" w:styleId="1162" w:customStyle="1">
    <w:name w:val="表头_5"/>
    <w:basedOn w:val="722"/>
    <w:uiPriority w:val="99"/>
    <w:qFormat/>
    <w:pPr>
      <w:spacing w:line="360" w:lineRule="auto"/>
    </w:pPr>
    <w:rPr>
      <w:b/>
      <w:bCs/>
      <w:sz w:val="28"/>
      <w:szCs w:val="21"/>
    </w:rPr>
  </w:style>
  <w:style w:type="paragraph" w:styleId="1163" w:customStyle="1">
    <w:name w:val="正文 居中"/>
    <w:basedOn w:val="722"/>
    <w:uiPriority w:val="99"/>
    <w:qFormat/>
    <w:pPr>
      <w:jc w:val="center"/>
      <w:spacing w:line="360" w:lineRule="auto"/>
    </w:pPr>
    <w:rPr>
      <w:sz w:val="24"/>
    </w:rPr>
  </w:style>
  <w:style w:type="paragraph" w:styleId="1164" w:customStyle="1">
    <w:name w:val="丁华标题3"/>
    <w:basedOn w:val="1165"/>
    <w:next w:val="1166"/>
    <w:uiPriority w:val="99"/>
    <w:qFormat/>
    <w:pPr>
      <w:ind w:left="1980" w:hanging="420"/>
      <w:tabs>
        <w:tab w:val="left" w:pos="1004" w:leader="none"/>
        <w:tab w:val="left" w:pos="1470" w:leader="none"/>
        <w:tab w:val="left" w:pos="1980" w:leader="none"/>
      </w:tabs>
      <w:outlineLvl w:val="2"/>
    </w:pPr>
    <w:rPr>
      <w:sz w:val="24"/>
    </w:rPr>
  </w:style>
  <w:style w:type="paragraph" w:styleId="1165" w:customStyle="1">
    <w:name w:val="丁华标题2"/>
    <w:basedOn w:val="724"/>
    <w:next w:val="1166"/>
    <w:uiPriority w:val="99"/>
    <w:qFormat/>
    <w:pPr>
      <w:ind w:left="567" w:hanging="283"/>
      <w:spacing w:line="415" w:lineRule="auto"/>
      <w:tabs>
        <w:tab w:val="left" w:pos="1004" w:leader="none"/>
      </w:tabs>
    </w:pPr>
    <w:rPr>
      <w:rFonts w:ascii="Arial" w:hAnsi="Arial" w:eastAsia="黑体"/>
      <w:b/>
      <w:sz w:val="28"/>
      <w:szCs w:val="20"/>
    </w:rPr>
  </w:style>
  <w:style w:type="paragraph" w:styleId="1166" w:customStyle="1">
    <w:name w:val="丁华正文"/>
    <w:basedOn w:val="774"/>
    <w:uiPriority w:val="99"/>
    <w:qFormat/>
    <w:pPr>
      <w:ind w:left="0" w:firstLine="510"/>
      <w:spacing w:line="360" w:lineRule="auto"/>
    </w:pPr>
    <w:rPr>
      <w:rFonts w:ascii="Times New Roman" w:hAnsi="Times New Roman" w:eastAsia="宋体" w:cs="Times New Roman"/>
      <w:color w:val="auto"/>
      <w:sz w:val="24"/>
      <w:szCs w:val="16"/>
    </w:rPr>
  </w:style>
  <w:style w:type="paragraph" w:styleId="1167" w:customStyle="1">
    <w:name w:val="Table Text Char"/>
    <w:uiPriority w:val="99"/>
    <w:qFormat/>
    <w:pPr>
      <w:spacing w:before="80" w:after="80"/>
    </w:pPr>
    <w:rPr>
      <w:rFonts w:ascii="Arial" w:hAnsi="Arial" w:eastAsia="宋体" w:cs="Arial"/>
      <w:sz w:val="18"/>
      <w:szCs w:val="28"/>
      <w:lang w:val="en-US" w:eastAsia="zh-CN" w:bidi="ar-SA"/>
    </w:rPr>
  </w:style>
  <w:style w:type="paragraph" w:styleId="1168" w:customStyle="1">
    <w:name w:val="标题2，章节第二层"/>
    <w:basedOn w:val="722"/>
    <w:next w:val="1108"/>
    <w:uiPriority w:val="99"/>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69" w:customStyle="1">
    <w:name w:val="Char2 Char Char Char Char Char Char1"/>
    <w:basedOn w:val="722"/>
    <w:uiPriority w:val="99"/>
    <w:qFormat/>
    <w:pPr>
      <w:ind w:hanging="425"/>
      <w:keepNext/>
      <w:spacing w:before="80" w:after="80"/>
      <w:widowControl/>
      <w:tabs>
        <w:tab w:val="left" w:pos="425" w:leader="none"/>
      </w:tabs>
    </w:pPr>
    <w:rPr>
      <w:rFonts w:ascii="Arial" w:hAnsi="Arial" w:cs="Arial"/>
      <w:sz w:val="20"/>
    </w:rPr>
  </w:style>
  <w:style w:type="paragraph" w:styleId="1170" w:customStyle="1">
    <w:name w:val="样式 样式 标题 3H3sect1.2.3BOD 0Heading 3 - oldh3l3CTLevel 3 Head... +..."/>
    <w:basedOn w:val="722"/>
    <w:uiPriority w:val="99"/>
    <w:qFormat/>
    <w:pPr>
      <w:jc w:val="left"/>
      <w:keepLines/>
      <w:keepNext/>
      <w:outlineLvl w:val="2"/>
    </w:pPr>
    <w:rPr>
      <w:rFonts w:cs="宋体"/>
      <w:b/>
      <w:bCs/>
      <w:sz w:val="24"/>
    </w:rPr>
  </w:style>
  <w:style w:type="paragraph" w:styleId="1171" w:customStyle="1">
    <w:name w:val="样式 样式 首行缩进:  2 字符 + 行距: 1.5 倍行距"/>
    <w:basedOn w:val="722"/>
    <w:uiPriority w:val="99"/>
    <w:qFormat/>
    <w:pPr>
      <w:ind w:firstLine="470"/>
      <w:spacing w:line="360" w:lineRule="auto"/>
    </w:pPr>
    <w:rPr>
      <w:sz w:val="24"/>
    </w:rPr>
  </w:style>
  <w:style w:type="paragraph" w:styleId="1172" w:customStyle="1">
    <w:name w:val="xl41"/>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3" w:customStyle="1">
    <w:name w:val="_Style 42"/>
    <w:basedOn w:val="722"/>
    <w:next w:val="748"/>
    <w:uiPriority w:val="99"/>
    <w:qFormat/>
    <w:rPr>
      <w:rFonts w:ascii="楷体_GB2312" w:hAnsi="Arial" w:eastAsia="楷体_GB2312"/>
      <w:sz w:val="28"/>
    </w:rPr>
  </w:style>
  <w:style w:type="paragraph" w:styleId="1174" w:customStyle="1">
    <w:name w:val="font10"/>
    <w:basedOn w:val="722"/>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175" w:customStyle="1">
    <w:name w:val="二级条标题"/>
    <w:basedOn w:val="722"/>
    <w:next w:val="1095"/>
    <w:uiPriority w:val="99"/>
    <w:qFormat/>
    <w:pPr>
      <w:ind w:hanging="420"/>
      <w:widowControl/>
      <w:tabs>
        <w:tab w:val="left" w:pos="2240" w:leader="none"/>
      </w:tabs>
      <w:outlineLvl w:val="3"/>
    </w:pPr>
    <w:rPr>
      <w:rFonts w:eastAsia="黑体"/>
    </w:rPr>
  </w:style>
  <w:style w:type="paragraph" w:styleId="1176" w:customStyle="1">
    <w:name w:val="content_lineheight"/>
    <w:basedOn w:val="722"/>
    <w:uiPriority w:val="99"/>
    <w:qFormat/>
    <w:pPr>
      <w:jc w:val="left"/>
      <w:spacing w:before="100" w:beforeAutospacing="1" w:after="100" w:afterAutospacing="1"/>
      <w:widowControl/>
    </w:pPr>
    <w:rPr>
      <w:rFonts w:ascii="宋体" w:hAnsi="宋体"/>
      <w:sz w:val="24"/>
      <w:szCs w:val="24"/>
    </w:rPr>
  </w:style>
  <w:style w:type="paragraph" w:styleId="1177" w:customStyle="1">
    <w:name w:val="条1"/>
    <w:basedOn w:val="722"/>
    <w:uiPriority w:val="99"/>
    <w:qFormat/>
    <w:pPr>
      <w:ind w:left="780" w:hanging="360"/>
      <w:spacing w:before="156" w:line="360" w:lineRule="auto"/>
      <w:tabs>
        <w:tab w:val="left" w:pos="780" w:leader="none"/>
      </w:tabs>
    </w:pPr>
    <w:rPr>
      <w:rFonts w:eastAsia="黑体"/>
      <w:sz w:val="24"/>
    </w:rPr>
  </w:style>
  <w:style w:type="paragraph" w:styleId="1178" w:customStyle="1">
    <w:name w:val="Char Char1 Char Char Char Char"/>
    <w:basedOn w:val="743"/>
    <w:uiPriority w:val="99"/>
    <w:qFormat/>
    <w:pPr>
      <w:ind w:left="357"/>
      <w:jc w:val="left"/>
      <w:spacing w:line="436" w:lineRule="exact"/>
      <w:outlineLvl w:val="3"/>
    </w:pPr>
    <w:rPr>
      <w:rFonts w:ascii="Tahoma" w:hAnsi="Tahoma" w:cs="Tahoma"/>
      <w:b/>
      <w:sz w:val="24"/>
      <w:szCs w:val="24"/>
    </w:rPr>
  </w:style>
  <w:style w:type="paragraph" w:styleId="1179" w:customStyle="1">
    <w:name w:val="xl62"/>
    <w:basedOn w:val="72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80" w:customStyle="1">
    <w:name w:val="样式"/>
    <w:basedOn w:val="722"/>
    <w:uiPriority w:val="99"/>
    <w:qFormat/>
    <w:pPr>
      <w:spacing w:before="120" w:after="120" w:line="360" w:lineRule="auto"/>
    </w:pPr>
    <w:rPr>
      <w:rFonts w:ascii="宋体"/>
      <w:sz w:val="24"/>
    </w:rPr>
  </w:style>
  <w:style w:type="paragraph" w:styleId="1181"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82" w:customStyle="1">
    <w:name w:val="正文2"/>
    <w:basedOn w:val="722"/>
    <w:uiPriority w:val="99"/>
    <w:qFormat/>
    <w:pPr>
      <w:ind w:firstLine="510"/>
      <w:spacing w:before="156" w:line="360" w:lineRule="auto"/>
    </w:pPr>
    <w:rPr>
      <w:sz w:val="24"/>
    </w:rPr>
  </w:style>
  <w:style w:type="paragraph" w:styleId="1183" w:customStyle="1">
    <w:name w:val="标题 4宋体"/>
    <w:basedOn w:val="726"/>
    <w:uiPriority w:val="99"/>
    <w:qFormat/>
    <w:pPr>
      <w:jc w:val="left"/>
      <w:keepLines w:val="0"/>
      <w:spacing w:before="0" w:after="0" w:line="360" w:lineRule="auto"/>
    </w:pPr>
    <w:rPr>
      <w:rFonts w:ascii="宋体" w:hAnsi="宋体" w:eastAsia="宋体"/>
      <w:bCs/>
      <w:color w:val="000000"/>
      <w:sz w:val="24"/>
    </w:rPr>
  </w:style>
  <w:style w:type="paragraph" w:styleId="1184" w:customStyle="1">
    <w:name w:val="font13"/>
    <w:basedOn w:val="722"/>
    <w:uiPriority w:val="99"/>
    <w:qFormat/>
    <w:pPr>
      <w:jc w:val="left"/>
      <w:spacing w:before="100" w:beforeAutospacing="1" w:after="100" w:afterAutospacing="1"/>
      <w:widowControl/>
    </w:pPr>
    <w:rPr>
      <w:i/>
      <w:iCs/>
      <w:sz w:val="36"/>
      <w:szCs w:val="36"/>
    </w:rPr>
  </w:style>
  <w:style w:type="paragraph" w:styleId="1185" w:customStyle="1">
    <w:name w:val="Test2"/>
    <w:basedOn w:val="724"/>
    <w:uiPriority w:val="99"/>
    <w:qFormat/>
    <w:pPr>
      <w:jc w:val="center"/>
      <w:spacing w:line="480" w:lineRule="exact"/>
      <w:widowControl/>
    </w:pPr>
    <w:rPr>
      <w:rFonts w:ascii="黑体" w:hAnsi="Arial" w:eastAsia="黑体"/>
      <w:bCs w:val="0"/>
    </w:rPr>
  </w:style>
  <w:style w:type="paragraph" w:styleId="1186" w:customStyle="1">
    <w:name w:val="Char Char Char Char Char Char Char Char1"/>
    <w:basedOn w:val="722"/>
    <w:uiPriority w:val="99"/>
    <w:qFormat/>
    <w:rPr>
      <w:rFonts w:ascii="Tahoma" w:hAnsi="Tahoma"/>
      <w:sz w:val="24"/>
    </w:rPr>
  </w:style>
  <w:style w:type="paragraph" w:styleId="1187" w:customStyle="1">
    <w:name w:val="正文表标题"/>
    <w:next w:val="1095"/>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88" w:customStyle="1">
    <w:name w:val="Char Char"/>
    <w:basedOn w:val="722"/>
    <w:uiPriority w:val="99"/>
    <w:qFormat/>
    <w:rPr>
      <w:rFonts w:ascii="Tahoma" w:hAnsi="Tahoma" w:cs="Tahoma"/>
      <w:sz w:val="24"/>
    </w:rPr>
  </w:style>
  <w:style w:type="paragraph" w:styleId="1189" w:customStyle="1">
    <w:name w:val="样式2"/>
    <w:basedOn w:val="722"/>
    <w:uiPriority w:val="99"/>
    <w:qFormat/>
    <w:pPr>
      <w:ind w:left="200"/>
      <w:spacing w:line="360" w:lineRule="auto"/>
    </w:pPr>
    <w:rPr>
      <w:rFonts w:ascii="宋体" w:hAnsi="宋体"/>
      <w:b/>
      <w:sz w:val="24"/>
      <w:szCs w:val="24"/>
    </w:rPr>
  </w:style>
  <w:style w:type="paragraph" w:styleId="1190" w:customStyle="1">
    <w:name w:val="xl32"/>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91" w:customStyle="1">
    <w:name w:val="a"/>
    <w:basedOn w:val="722"/>
    <w:uiPriority w:val="99"/>
    <w:qFormat/>
    <w:pPr>
      <w:spacing w:before="100" w:beforeAutospacing="1" w:after="100" w:afterAutospacing="1"/>
      <w:widowControl/>
    </w:pPr>
    <w:rPr>
      <w:rFonts w:ascii="宋体" w:hAnsi="宋体" w:cs="宋体"/>
      <w:sz w:val="24"/>
      <w:szCs w:val="24"/>
    </w:rPr>
  </w:style>
  <w:style w:type="paragraph" w:styleId="1192" w:customStyle="1">
    <w:name w:val="标题4，章节第四层"/>
    <w:basedOn w:val="722"/>
    <w:next w:val="722"/>
    <w:uiPriority w:val="99"/>
    <w:qFormat/>
    <w:pPr>
      <w:spacing w:line="360" w:lineRule="auto"/>
      <w:tabs>
        <w:tab w:val="left" w:pos="0" w:leader="none"/>
      </w:tabs>
      <w:outlineLvl w:val="3"/>
    </w:pPr>
    <w:rPr>
      <w:rFonts w:ascii="宋体" w:hAnsi="宋体"/>
      <w:b/>
      <w:sz w:val="24"/>
      <w:szCs w:val="24"/>
    </w:rPr>
  </w:style>
  <w:style w:type="paragraph" w:styleId="1193" w:customStyle="1">
    <w:name w:val="Char Char11"/>
    <w:basedOn w:val="722"/>
    <w:uiPriority w:val="99"/>
    <w:qFormat/>
    <w:rPr>
      <w:rFonts w:ascii="Tahoma" w:hAnsi="Tahoma"/>
      <w:sz w:val="24"/>
    </w:rPr>
  </w:style>
  <w:style w:type="paragraph" w:styleId="1194" w:customStyle="1">
    <w:name w:val="retrait3"/>
    <w:basedOn w:val="722"/>
    <w:uiPriority w:val="99"/>
    <w:qFormat/>
    <w:pPr>
      <w:ind w:left="851"/>
      <w:jc w:val="left"/>
      <w:spacing w:before="20" w:after="20"/>
      <w:widowControl/>
    </w:pPr>
    <w:rPr>
      <w:rFonts w:ascii="Arial" w:hAnsi="Arial"/>
      <w:sz w:val="24"/>
      <w:lang w:val="en-GB"/>
    </w:rPr>
  </w:style>
  <w:style w:type="paragraph" w:styleId="1195" w:customStyle="1">
    <w:name w:val="Char1 Char Char Char"/>
    <w:basedOn w:val="722"/>
    <w:uiPriority w:val="99"/>
    <w:qFormat/>
    <w:rPr>
      <w:rFonts w:ascii="Tahoma" w:hAnsi="Tahoma"/>
      <w:sz w:val="24"/>
    </w:rPr>
  </w:style>
  <w:style w:type="paragraph" w:styleId="1196" w:customStyle="1">
    <w:name w:val="Char Char Char Char Char Char Char Char Char Char Char Char Char Char Char Char Char Char Char Char Char Char Char"/>
    <w:basedOn w:val="722"/>
    <w:uiPriority w:val="99"/>
    <w:qFormat/>
    <w:rPr>
      <w:rFonts w:ascii="Tahoma" w:hAnsi="Tahoma"/>
      <w:sz w:val="24"/>
    </w:rPr>
  </w:style>
  <w:style w:type="paragraph" w:styleId="1197" w:customStyle="1">
    <w:name w:val="Char Char Char Char Char Char Char Char Char Char Char1 Char Char Char1"/>
    <w:basedOn w:val="722"/>
    <w:uiPriority w:val="99"/>
    <w:semiHidden/>
    <w:qFormat/>
    <w:pPr>
      <w:ind w:firstLine="200"/>
      <w:jc w:val="left"/>
    </w:pPr>
    <w:rPr>
      <w:rFonts w:ascii="Tahoma" w:hAnsi="Tahoma"/>
      <w:sz w:val="24"/>
      <w:szCs w:val="24"/>
    </w:rPr>
  </w:style>
  <w:style w:type="paragraph" w:styleId="1198" w:customStyle="1">
    <w:name w:val="Char Char1 Char Char Char Char Char Char Char"/>
    <w:basedOn w:val="722"/>
    <w:uiPriority w:val="99"/>
    <w:qFormat/>
    <w:rPr>
      <w:rFonts w:ascii="Tahoma" w:hAnsi="Tahoma" w:cs="Tahoma"/>
      <w:sz w:val="24"/>
    </w:rPr>
  </w:style>
  <w:style w:type="paragraph" w:styleId="1199" w:customStyle="1">
    <w:name w:val="正文 New New New New New New New New New New New New New New"/>
    <w:uiPriority w:val="99"/>
    <w:qFormat/>
    <w:pPr>
      <w:jc w:val="both"/>
      <w:widowControl w:val="off"/>
    </w:pPr>
    <w:rPr>
      <w:rFonts w:hint="eastAsia" w:ascii="Calibri" w:hAnsi="Calibri" w:eastAsia="宋体" w:cs="Times New Roman"/>
      <w:sz w:val="21"/>
      <w:lang w:val="en-US" w:eastAsia="zh-CN" w:bidi="ar-SA"/>
    </w:rPr>
  </w:style>
  <w:style w:type="paragraph" w:styleId="1200" w:customStyle="1">
    <w:name w:val="样式 段后: 0.25 行"/>
    <w:basedOn w:val="722"/>
    <w:uiPriority w:val="99"/>
    <w:qFormat/>
    <w:pPr>
      <w:ind w:firstLine="420"/>
      <w:jc w:val="left"/>
      <w:spacing w:line="300" w:lineRule="auto"/>
      <w:widowControl/>
    </w:pPr>
    <w:rPr>
      <w:rFonts w:ascii="Arial" w:hAnsi="Arial" w:cs="宋体"/>
      <w:sz w:val="22"/>
      <w:lang w:eastAsia="en-US" w:bidi="en-US"/>
    </w:rPr>
  </w:style>
  <w:style w:type="paragraph" w:styleId="1201" w:customStyle="1">
    <w:name w:val="Char Char1 Char"/>
    <w:basedOn w:val="722"/>
    <w:uiPriority w:val="99"/>
    <w:qFormat/>
    <w:pPr>
      <w:jc w:val="left"/>
      <w:spacing w:after="160" w:line="240" w:lineRule="exact"/>
      <w:widowControl/>
    </w:pPr>
    <w:rPr>
      <w:rFonts w:ascii="Verdana" w:hAnsi="Verdana"/>
      <w:sz w:val="20"/>
      <w:lang w:eastAsia="en-US"/>
    </w:rPr>
  </w:style>
  <w:style w:type="paragraph" w:styleId="1202" w:customStyle="1">
    <w:name w:val="Char Char3"/>
    <w:basedOn w:val="722"/>
    <w:uiPriority w:val="99"/>
    <w:qFormat/>
    <w:rPr>
      <w:rFonts w:ascii="Tahoma" w:hAnsi="Tahoma"/>
      <w:sz w:val="24"/>
    </w:rPr>
  </w:style>
  <w:style w:type="paragraph" w:styleId="1203" w:customStyle="1">
    <w:name w:val="标题1，章节第一层"/>
    <w:basedOn w:val="1108"/>
    <w:next w:val="1108"/>
    <w:uiPriority w:val="99"/>
    <w:qFormat/>
    <w:pPr>
      <w:ind w:left="482"/>
      <w:tabs>
        <w:tab w:val="left" w:pos="693" w:leader="none"/>
      </w:tabs>
      <w:outlineLvl w:val="0"/>
    </w:pPr>
    <w:rPr>
      <w:color w:val="000000"/>
      <w:sz w:val="24"/>
      <w:szCs w:val="24"/>
    </w:rPr>
  </w:style>
  <w:style w:type="paragraph" w:styleId="1204" w:customStyle="1">
    <w:name w:val="xl59"/>
    <w:basedOn w:val="7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05" w:customStyle="1">
    <w:name w:val="Char1"/>
    <w:basedOn w:val="722"/>
    <w:uiPriority w:val="99"/>
    <w:qFormat/>
    <w:pPr>
      <w:jc w:val="left"/>
      <w:spacing w:after="160" w:line="240" w:lineRule="exact"/>
      <w:widowControl/>
    </w:pPr>
    <w:rPr>
      <w:rFonts w:ascii="Verdana" w:hAnsi="Verdana" w:eastAsia="仿宋_GB2312"/>
      <w:sz w:val="24"/>
      <w:lang w:eastAsia="en-US"/>
    </w:rPr>
  </w:style>
  <w:style w:type="paragraph" w:styleId="1206" w:customStyle="1">
    <w:name w:val="默认段落字体 Para Char Char Char Char Char Char Char"/>
    <w:basedOn w:val="722"/>
    <w:uiPriority w:val="99"/>
    <w:qFormat/>
  </w:style>
  <w:style w:type="paragraph" w:styleId="1207" w:customStyle="1">
    <w:name w:val="font12"/>
    <w:basedOn w:val="722"/>
    <w:uiPriority w:val="99"/>
    <w:qFormat/>
    <w:pPr>
      <w:jc w:val="left"/>
      <w:spacing w:before="100" w:beforeAutospacing="1" w:after="100" w:afterAutospacing="1"/>
      <w:widowControl/>
    </w:pPr>
    <w:rPr>
      <w:rFonts w:ascii="宋体" w:hAnsi="宋体" w:cs="宋体"/>
      <w:sz w:val="36"/>
      <w:szCs w:val="36"/>
    </w:rPr>
  </w:style>
  <w:style w:type="paragraph" w:styleId="1208" w:customStyle="1">
    <w:name w:val="正文缩进2字符"/>
    <w:basedOn w:val="722"/>
    <w:uiPriority w:val="0"/>
    <w:qFormat/>
    <w:pPr>
      <w:ind w:firstLine="200"/>
      <w:spacing w:line="300" w:lineRule="auto"/>
    </w:pPr>
    <w:rPr>
      <w:rFonts w:ascii="仿宋_GB2312" w:eastAsia="仿宋_GB2312"/>
      <w:sz w:val="32"/>
      <w:szCs w:val="32"/>
    </w:rPr>
  </w:style>
  <w:style w:type="paragraph" w:styleId="1209" w:customStyle="1">
    <w:name w:val="默认段落字体 Para Char"/>
    <w:basedOn w:val="722"/>
    <w:uiPriority w:val="99"/>
    <w:qFormat/>
    <w:rPr>
      <w:sz w:val="24"/>
      <w:szCs w:val="24"/>
    </w:rPr>
  </w:style>
  <w:style w:type="paragraph" w:styleId="1210" w:customStyle="1">
    <w:name w:val="Char Char1 Char1"/>
    <w:basedOn w:val="722"/>
    <w:uiPriority w:val="99"/>
    <w:qFormat/>
    <w:pPr>
      <w:jc w:val="left"/>
      <w:spacing w:after="160" w:line="240" w:lineRule="exact"/>
      <w:widowControl/>
    </w:pPr>
    <w:rPr>
      <w:rFonts w:ascii="Verdana" w:hAnsi="Verdana"/>
      <w:sz w:val="20"/>
      <w:lang w:eastAsia="en-US"/>
    </w:rPr>
  </w:style>
  <w:style w:type="paragraph" w:styleId="1211" w:customStyle="1">
    <w:name w:val="部分1"/>
    <w:basedOn w:val="722"/>
    <w:uiPriority w:val="99"/>
    <w:qFormat/>
    <w:pPr>
      <w:jc w:val="center"/>
      <w:keepNext/>
      <w:pageBreakBefore/>
      <w:spacing w:line="360" w:lineRule="auto"/>
      <w:tabs>
        <w:tab w:val="left" w:pos="360" w:leader="none"/>
      </w:tabs>
      <w:outlineLvl w:val="0"/>
    </w:pPr>
    <w:rPr>
      <w:rFonts w:eastAsia="黑体"/>
      <w:b/>
      <w:sz w:val="36"/>
    </w:rPr>
  </w:style>
  <w:style w:type="paragraph" w:styleId="1212" w:customStyle="1">
    <w:name w:val="xl50"/>
    <w:basedOn w:val="7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13" w:customStyle="1">
    <w:name w:val="列出段落2"/>
    <w:basedOn w:val="722"/>
    <w:uiPriority w:val="99"/>
    <w:qFormat/>
    <w:pPr>
      <w:ind w:left="720"/>
      <w:jc w:val="left"/>
      <w:widowControl/>
    </w:pPr>
    <w:rPr>
      <w:rFonts w:ascii="Arial" w:hAnsi="Arial" w:eastAsia="黑体" w:cs="Arial"/>
      <w:sz w:val="24"/>
      <w:szCs w:val="24"/>
      <w:lang w:eastAsia="en-US"/>
    </w:rPr>
  </w:style>
  <w:style w:type="paragraph" w:styleId="1214" w:customStyle="1">
    <w:name w:val="xl55"/>
    <w:basedOn w:val="72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15" w:customStyle="1">
    <w:name w:val="标题6"/>
    <w:basedOn w:val="727"/>
    <w:uiPriority w:val="99"/>
    <w:qFormat/>
    <w:pPr>
      <w:ind w:left="420" w:hanging="420"/>
      <w:keepLines/>
      <w:tabs>
        <w:tab w:val="left" w:pos="420" w:leader="none"/>
      </w:tabs>
    </w:pPr>
    <w:rPr>
      <w:rFonts w:ascii="Times New Roman"/>
      <w:b w:val="0"/>
      <w:bCs/>
      <w:color w:val="auto"/>
      <w:sz w:val="24"/>
      <w:szCs w:val="28"/>
    </w:rPr>
  </w:style>
  <w:style w:type="paragraph" w:styleId="1216" w:customStyle="1">
    <w:name w:val="样式 加点正文 + 段前: 0.5 行 段后: 0.5 行1"/>
    <w:basedOn w:val="722"/>
    <w:uiPriority w:val="99"/>
    <w:qFormat/>
    <w:pPr>
      <w:ind w:left="1268" w:hanging="420"/>
      <w:spacing w:line="300" w:lineRule="auto"/>
      <w:tabs>
        <w:tab w:val="left" w:pos="420" w:leader="none"/>
        <w:tab w:val="left" w:pos="1268" w:leader="none"/>
      </w:tabs>
    </w:pPr>
    <w:rPr>
      <w:sz w:val="24"/>
    </w:rPr>
  </w:style>
  <w:style w:type="paragraph" w:styleId="1217" w:customStyle="1">
    <w:name w:val="Char1 Char Char Char1"/>
    <w:basedOn w:val="722"/>
    <w:uiPriority w:val="99"/>
    <w:qFormat/>
    <w:rPr>
      <w:rFonts w:ascii="Tahoma" w:hAnsi="Tahoma" w:cs="Tahoma"/>
      <w:sz w:val="24"/>
    </w:rPr>
  </w:style>
  <w:style w:type="paragraph" w:styleId="1218" w:customStyle="1">
    <w:name w:val="丁华标题1"/>
    <w:basedOn w:val="723"/>
    <w:next w:val="1166"/>
    <w:uiPriority w:val="99"/>
    <w:qFormat/>
    <w:pPr>
      <w:ind w:left="567" w:hanging="567"/>
      <w:jc w:val="left"/>
      <w:keepLines/>
      <w:spacing w:before="600" w:line="578" w:lineRule="auto"/>
      <w:tabs>
        <w:tab w:val="left" w:pos="567" w:leader="none"/>
        <w:tab w:val="clear" w:pos="5670" w:leader="none"/>
      </w:tabs>
    </w:pPr>
    <w:rPr>
      <w:rFonts w:ascii="Times New Roman"/>
      <w:b w:val="0"/>
      <w:sz w:val="32"/>
      <w:szCs w:val="20"/>
    </w:rPr>
  </w:style>
  <w:style w:type="paragraph" w:styleId="1219" w:customStyle="1">
    <w:name w:val="正文--表格内正文"/>
    <w:basedOn w:val="722"/>
    <w:uiPriority w:val="99"/>
    <w:qFormat/>
    <w:pPr>
      <w:jc w:val="center"/>
      <w:spacing w:line="0" w:lineRule="atLeast"/>
    </w:pPr>
    <w:rPr>
      <w:rFonts w:ascii="宋体" w:hAnsi="宋体"/>
      <w:color w:val="000000"/>
      <w:sz w:val="24"/>
      <w:szCs w:val="24"/>
    </w:rPr>
  </w:style>
  <w:style w:type="paragraph" w:styleId="1220" w:customStyle="1">
    <w:name w:val="表蕊"/>
    <w:basedOn w:val="722"/>
    <w:uiPriority w:val="99"/>
    <w:qFormat/>
    <w:pPr>
      <w:jc w:val="left"/>
      <w:spacing w:line="320" w:lineRule="atLeast"/>
    </w:pPr>
    <w:rPr>
      <w:rFonts w:eastAsia="楷体_GB2312"/>
      <w:spacing w:val="-10"/>
    </w:rPr>
  </w:style>
  <w:style w:type="paragraph" w:styleId="1221" w:customStyle="1">
    <w:name w:val="表格内容"/>
    <w:basedOn w:val="722"/>
    <w:uiPriority w:val="99"/>
    <w:qFormat/>
    <w:pPr>
      <w:jc w:val="center"/>
      <w:spacing w:before="60" w:line="300" w:lineRule="auto"/>
      <w:widowControl/>
    </w:pPr>
  </w:style>
  <w:style w:type="paragraph" w:styleId="1222" w:customStyle="1">
    <w:name w:val="默认段落字体 Para Char Char Char Char Char Char Char Char Char1 Char Char Char Char Char Char Char"/>
    <w:basedOn w:val="743"/>
    <w:uiPriority w:val="99"/>
    <w:qFormat/>
  </w:style>
  <w:style w:type="paragraph" w:styleId="1223" w:customStyle="1">
    <w:name w:val="flType"/>
    <w:basedOn w:val="1125"/>
    <w:uiPriority w:val="99"/>
    <w:qFormat/>
    <w:pPr>
      <w:spacing w:after="284"/>
    </w:pPr>
    <w:rPr>
      <w:rFonts w:eastAsia="宋体"/>
      <w:b w:val="0"/>
    </w:rPr>
  </w:style>
  <w:style w:type="paragraph" w:styleId="1224" w:customStyle="1">
    <w:name w:val="greytypebeni"/>
    <w:basedOn w:val="722"/>
    <w:uiPriority w:val="99"/>
    <w:qFormat/>
    <w:pPr>
      <w:jc w:val="left"/>
      <w:widowControl/>
    </w:pPr>
    <w:rPr>
      <w:rFonts w:ascii="宋体" w:hAnsi="宋体" w:cs="宋体"/>
      <w:sz w:val="24"/>
      <w:szCs w:val="24"/>
    </w:rPr>
  </w:style>
  <w:style w:type="paragraph" w:styleId="1225" w:customStyle="1">
    <w:name w:val="小四 段落 宋体 Char Char Char Char"/>
    <w:basedOn w:val="722"/>
    <w:uiPriority w:val="99"/>
    <w:qFormat/>
    <w:pPr>
      <w:ind w:right="-33" w:firstLine="480"/>
      <w:jc w:val="left"/>
      <w:spacing w:line="360" w:lineRule="auto"/>
    </w:pPr>
    <w:rPr>
      <w:sz w:val="24"/>
      <w:szCs w:val="24"/>
    </w:rPr>
  </w:style>
  <w:style w:type="paragraph" w:styleId="1226" w:customStyle="1">
    <w:name w:val="马刚标题4"/>
    <w:basedOn w:val="1227"/>
    <w:next w:val="722"/>
    <w:uiPriority w:val="99"/>
    <w:qFormat/>
    <w:pPr>
      <w:spacing w:before="100" w:after="40"/>
      <w:tabs>
        <w:tab w:val="left" w:pos="567" w:leader="none"/>
        <w:tab w:val="left" w:pos="735" w:leader="none"/>
        <w:tab w:val="left" w:pos="1050" w:leader="none"/>
      </w:tabs>
      <w:outlineLvl w:val="3"/>
    </w:pPr>
    <w:rPr>
      <w:b w:val="0"/>
    </w:rPr>
  </w:style>
  <w:style w:type="paragraph" w:styleId="1227" w:customStyle="1">
    <w:name w:val="马刚标题3"/>
    <w:basedOn w:val="722"/>
    <w:next w:val="722"/>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28" w:customStyle="1">
    <w:name w:val="Char Char Char1"/>
    <w:basedOn w:val="743"/>
    <w:uiPriority w:val="99"/>
    <w:qFormat/>
    <w:pPr>
      <w:spacing w:line="436" w:lineRule="exact"/>
    </w:pPr>
    <w:rPr>
      <w:szCs w:val="24"/>
    </w:rPr>
  </w:style>
  <w:style w:type="paragraph" w:styleId="1229" w:customStyle="1">
    <w:name w:val="标题5，章节第五层"/>
    <w:basedOn w:val="722"/>
    <w:next w:val="722"/>
    <w:uiPriority w:val="9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30" w:customStyle="1">
    <w:name w:val="xl63"/>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31" w:customStyle="1">
    <w:name w:val="修订11"/>
    <w:uiPriority w:val="99"/>
    <w:semiHidden/>
    <w:qFormat/>
    <w:rPr>
      <w:rFonts w:ascii="Times New Roman" w:hAnsi="Times New Roman" w:eastAsia="宋体" w:cs="Times New Roman"/>
      <w:sz w:val="21"/>
      <w:szCs w:val="24"/>
      <w:lang w:val="en-US" w:eastAsia="zh-CN" w:bidi="ar-SA"/>
    </w:rPr>
  </w:style>
  <w:style w:type="paragraph" w:styleId="1232" w:customStyle="1">
    <w:name w:val="普通文字"/>
    <w:basedOn w:val="722"/>
    <w:next w:val="722"/>
    <w:uiPriority w:val="99"/>
    <w:qFormat/>
    <w:rPr>
      <w:rFonts w:ascii="宋体" w:hAnsi="宋体" w:cs="宋体"/>
      <w:sz w:val="24"/>
    </w:rPr>
  </w:style>
  <w:style w:type="paragraph" w:styleId="1233" w:customStyle="1">
    <w:name w:val="xl31"/>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34" w:customStyle="1">
    <w:name w:val="xl33"/>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5" w:customStyle="1">
    <w:name w:val="xl37"/>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36" w:customStyle="1">
    <w:name w:val="Char Char Char Char Char Char Char Char Char"/>
    <w:basedOn w:val="722"/>
    <w:uiPriority w:val="99"/>
    <w:qFormat/>
    <w:pPr>
      <w:ind w:left="200" w:hanging="200"/>
      <w:tabs>
        <w:tab w:val="left" w:pos="360" w:leader="none"/>
      </w:tabs>
    </w:pPr>
    <w:rPr>
      <w:sz w:val="24"/>
      <w:szCs w:val="24"/>
    </w:rPr>
  </w:style>
  <w:style w:type="paragraph" w:styleId="1237" w:customStyle="1">
    <w:name w:val="Char Char Char Char Char Char Char Char Char Char Char Char Char Char"/>
    <w:basedOn w:val="722"/>
    <w:uiPriority w:val="99"/>
    <w:qFormat/>
    <w:rPr>
      <w:rFonts w:ascii="Tahoma" w:hAnsi="Tahoma" w:cs="Tahoma"/>
      <w:sz w:val="24"/>
    </w:rPr>
  </w:style>
  <w:style w:type="paragraph" w:styleId="1238" w:customStyle="1">
    <w:name w:val="小四 段落 宋体"/>
    <w:basedOn w:val="740"/>
    <w:uiPriority w:val="99"/>
    <w:qFormat/>
    <w:pPr>
      <w:ind w:left="113" w:right="113" w:firstLine="425"/>
      <w:jc w:val="left"/>
      <w:spacing w:line="360" w:lineRule="auto"/>
      <w:tabs>
        <w:tab w:val="clear" w:pos="2952" w:leader="none"/>
      </w:tabs>
    </w:pPr>
    <w:rPr>
      <w:sz w:val="24"/>
    </w:rPr>
  </w:style>
  <w:style w:type="paragraph" w:styleId="1239" w:customStyle="1">
    <w:name w:val="Char Char Char Char Char Char Char"/>
    <w:basedOn w:val="722"/>
    <w:uiPriority w:val="99"/>
    <w:qFormat/>
    <w:rPr>
      <w:rFonts w:ascii="Tahoma" w:hAnsi="Tahoma"/>
      <w:sz w:val="24"/>
    </w:rPr>
  </w:style>
  <w:style w:type="paragraph" w:styleId="1240" w:customStyle="1">
    <w:name w:val="xl56"/>
    <w:basedOn w:val="72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41" w:customStyle="1">
    <w:name w:val="font11"/>
    <w:basedOn w:val="722"/>
    <w:uiPriority w:val="99"/>
    <w:qFormat/>
    <w:pPr>
      <w:jc w:val="left"/>
      <w:spacing w:before="100" w:beforeAutospacing="1" w:after="100" w:afterAutospacing="1"/>
      <w:widowControl/>
    </w:pPr>
    <w:rPr>
      <w:b/>
      <w:bCs/>
      <w:sz w:val="18"/>
      <w:szCs w:val="18"/>
    </w:rPr>
  </w:style>
  <w:style w:type="paragraph" w:styleId="1242" w:customStyle="1">
    <w:name w:val="大标题"/>
    <w:basedOn w:val="722"/>
    <w:next w:val="722"/>
    <w:uiPriority w:val="99"/>
    <w:qFormat/>
    <w:pPr>
      <w:ind w:hanging="420"/>
      <w:pageBreakBefore/>
      <w:spacing w:line="360" w:lineRule="auto"/>
      <w:tabs>
        <w:tab w:val="left" w:pos="420" w:leader="none"/>
      </w:tabs>
      <w:outlineLvl w:val="0"/>
    </w:pPr>
    <w:rPr>
      <w:b/>
      <w:iCs/>
      <w:sz w:val="44"/>
      <w:szCs w:val="24"/>
    </w:rPr>
  </w:style>
  <w:style w:type="paragraph" w:styleId="1243" w:customStyle="1">
    <w:name w:val="Table Paragraph"/>
    <w:basedOn w:val="722"/>
    <w:uiPriority w:val="99"/>
    <w:qFormat/>
  </w:style>
  <w:style w:type="paragraph" w:styleId="1244" w:customStyle="1">
    <w:name w:val="Body Text 21"/>
    <w:basedOn w:val="722"/>
    <w:uiPriority w:val="99"/>
    <w:qFormat/>
    <w:pPr>
      <w:ind w:left="720" w:hanging="720"/>
      <w:widowControl/>
    </w:pPr>
    <w:rPr>
      <w:sz w:val="24"/>
      <w:lang w:val="en-GB"/>
    </w:rPr>
  </w:style>
  <w:style w:type="paragraph" w:styleId="1245" w:customStyle="1">
    <w:name w:val="7"/>
    <w:basedOn w:val="722"/>
    <w:next w:val="782"/>
    <w:uiPriority w:val="99"/>
    <w:qFormat/>
    <w:pPr>
      <w:jc w:val="left"/>
      <w:spacing w:before="100" w:beforeAutospacing="1" w:after="100" w:afterAutospacing="1"/>
      <w:widowControl/>
    </w:pPr>
    <w:rPr>
      <w:rFonts w:ascii="宋体" w:hAnsi="宋体"/>
      <w:sz w:val="24"/>
    </w:rPr>
  </w:style>
  <w:style w:type="paragraph" w:styleId="1246" w:customStyle="1">
    <w:name w:val="标准文本"/>
    <w:basedOn w:val="722"/>
    <w:uiPriority w:val="99"/>
    <w:qFormat/>
    <w:pPr>
      <w:ind w:firstLine="480"/>
      <w:spacing w:line="360" w:lineRule="auto"/>
    </w:pPr>
    <w:rPr>
      <w:rFonts w:cs="宋体"/>
      <w:sz w:val="24"/>
      <w:szCs w:val="24"/>
    </w:rPr>
  </w:style>
  <w:style w:type="paragraph" w:styleId="1247" w:customStyle="1">
    <w:name w:val="项目符号，一级"/>
    <w:basedOn w:val="1108"/>
    <w:next w:val="1108"/>
    <w:uiPriority w:val="99"/>
    <w:qFormat/>
    <w:pPr>
      <w:ind w:left="376" w:firstLine="0"/>
      <w:spacing w:line="240" w:lineRule="atLeast"/>
      <w:tabs>
        <w:tab w:val="left" w:pos="1320" w:leader="none"/>
      </w:tabs>
    </w:pPr>
    <w:rPr>
      <w:bCs w:val="0"/>
      <w:color w:val="000000"/>
      <w:szCs w:val="24"/>
    </w:rPr>
  </w:style>
  <w:style w:type="paragraph" w:styleId="1248" w:customStyle="1">
    <w:name w:val="正文 首行缩进:  2 字符 Char"/>
    <w:basedOn w:val="722"/>
    <w:uiPriority w:val="99"/>
    <w:qFormat/>
    <w:pPr>
      <w:ind w:firstLine="480"/>
      <w:spacing w:line="360" w:lineRule="auto"/>
    </w:pPr>
    <w:rPr>
      <w:rFonts w:cs="宋体"/>
      <w:sz w:val="24"/>
    </w:rPr>
  </w:style>
  <w:style w:type="paragraph" w:styleId="1249" w:customStyle="1">
    <w:name w:val="表格1"/>
    <w:basedOn w:val="722"/>
    <w:uiPriority w:val="99"/>
    <w:qFormat/>
    <w:rPr>
      <w:rFonts w:ascii="宋体"/>
      <w:szCs w:val="21"/>
    </w:rPr>
  </w:style>
  <w:style w:type="paragraph" w:styleId="1250" w:customStyle="1">
    <w:name w:val="Char Char Char Char Char Char Char Char Char Char Char"/>
    <w:basedOn w:val="722"/>
    <w:uiPriority w:val="99"/>
    <w:qFormat/>
    <w:rPr>
      <w:rFonts w:ascii="Tahoma" w:hAnsi="Tahoma" w:cs="Tahoma"/>
      <w:sz w:val="24"/>
    </w:rPr>
  </w:style>
  <w:style w:type="paragraph" w:styleId="1251" w:customStyle="1">
    <w:name w:val="xl39"/>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52" w:customStyle="1">
    <w:name w:val="p0"/>
    <w:basedOn w:val="722"/>
    <w:uiPriority w:val="99"/>
    <w:qFormat/>
    <w:pPr>
      <w:jc w:val="left"/>
      <w:spacing w:before="100" w:beforeAutospacing="1" w:after="100" w:afterAutospacing="1"/>
      <w:widowControl/>
    </w:pPr>
    <w:rPr>
      <w:rFonts w:ascii="宋体" w:hAnsi="宋体" w:cs="宋体"/>
      <w:sz w:val="24"/>
      <w:szCs w:val="24"/>
    </w:rPr>
  </w:style>
  <w:style w:type="paragraph" w:styleId="1253"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54" w:customStyle="1">
    <w:name w:val="正文11"/>
    <w:basedOn w:val="722"/>
    <w:next w:val="722"/>
    <w:uiPriority w:val="99"/>
    <w:qFormat/>
    <w:pPr>
      <w:ind w:firstLine="510"/>
      <w:spacing w:before="156" w:line="360" w:lineRule="auto"/>
    </w:pPr>
    <w:rPr>
      <w:sz w:val="24"/>
    </w:rPr>
  </w:style>
  <w:style w:type="paragraph" w:styleId="1255" w:customStyle="1">
    <w:name w:val="样式 段后: 0.5 行 左  0.75 字符"/>
    <w:basedOn w:val="722"/>
    <w:uiPriority w:val="99"/>
    <w:qFormat/>
    <w:pPr>
      <w:ind w:firstLine="420"/>
      <w:spacing w:line="360" w:lineRule="auto"/>
      <w:widowControl/>
    </w:pPr>
    <w:rPr>
      <w:rFonts w:hAnsi="Arial" w:cs="Arial"/>
      <w:szCs w:val="21"/>
    </w:rPr>
  </w:style>
  <w:style w:type="paragraph" w:styleId="1256" w:customStyle="1">
    <w:name w:val="xl36"/>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7" w:customStyle="1">
    <w:name w:val="一级标题"/>
    <w:basedOn w:val="722"/>
    <w:uiPriority w:val="99"/>
    <w:qFormat/>
    <w:pPr>
      <w:ind w:left="900" w:hanging="420"/>
      <w:spacing w:line="360" w:lineRule="auto"/>
      <w:tabs>
        <w:tab w:val="left" w:pos="903" w:leader="none"/>
      </w:tabs>
    </w:pPr>
    <w:rPr>
      <w:rFonts w:ascii="Arial" w:hAnsi="Arial" w:cs="Arial"/>
      <w:sz w:val="24"/>
    </w:rPr>
  </w:style>
  <w:style w:type="paragraph" w:styleId="1258" w:customStyle="1">
    <w:name w:val="Char Char Char Char1"/>
    <w:basedOn w:val="722"/>
    <w:uiPriority w:val="99"/>
    <w:qFormat/>
    <w:pPr>
      <w:jc w:val="center"/>
      <w:spacing w:after="160" w:line="240" w:lineRule="exact"/>
      <w:widowControl/>
    </w:pPr>
    <w:rPr>
      <w:rFonts w:ascii="黑体" w:hAnsi="Verdana" w:eastAsia="黑体"/>
      <w:sz w:val="32"/>
      <w:szCs w:val="32"/>
      <w:lang w:eastAsia="en-US"/>
    </w:rPr>
  </w:style>
  <w:style w:type="paragraph" w:styleId="1259" w:customStyle="1">
    <w:name w:val="样式 样式 首行缩进:  0.74 厘米 行距: 1.5 倍行距 + 段后: 0.5 行"/>
    <w:basedOn w:val="722"/>
    <w:uiPriority w:val="99"/>
    <w:qFormat/>
    <w:pPr>
      <w:ind w:firstLine="420"/>
      <w:spacing w:line="360" w:lineRule="auto"/>
    </w:pPr>
    <w:rPr>
      <w:rFonts w:ascii="楷体_GB2312" w:eastAsia="楷体_GB2312"/>
      <w:bCs/>
      <w:sz w:val="24"/>
    </w:rPr>
  </w:style>
  <w:style w:type="paragraph" w:styleId="1260" w:customStyle="1">
    <w:name w:val="项目符号，二级"/>
    <w:basedOn w:val="1108"/>
    <w:next w:val="1108"/>
    <w:uiPriority w:val="99"/>
    <w:qFormat/>
    <w:pPr>
      <w:ind w:left="1337" w:right="-27" w:firstLine="480"/>
      <w:tabs>
        <w:tab w:val="left" w:pos="567" w:leader="none"/>
        <w:tab w:val="left" w:pos="1211" w:leader="none"/>
        <w:tab w:val="left" w:pos="1337" w:leader="none"/>
      </w:tabs>
    </w:pPr>
    <w:rPr>
      <w:bCs w:val="0"/>
      <w:color w:val="000000"/>
      <w:sz w:val="24"/>
      <w:szCs w:val="24"/>
    </w:rPr>
  </w:style>
  <w:style w:type="paragraph" w:styleId="1261" w:customStyle="1">
    <w:name w:val="文档正文"/>
    <w:basedOn w:val="722"/>
    <w:uiPriority w:val="99"/>
    <w:qFormat/>
    <w:pPr>
      <w:spacing w:line="360" w:lineRule="auto"/>
    </w:pPr>
    <w:rPr>
      <w:rFonts w:ascii="宋体" w:hAnsi="宋体"/>
      <w:b/>
      <w:bCs/>
      <w:szCs w:val="24"/>
    </w:rPr>
  </w:style>
  <w:style w:type="paragraph" w:styleId="1262" w:customStyle="1">
    <w:name w:val="Normal1"/>
    <w:basedOn w:val="722"/>
    <w:uiPriority w:val="99"/>
    <w:qFormat/>
    <w:rPr>
      <w:rFonts w:ascii="Calibri" w:hAnsi="Calibri" w:eastAsia="Calibri" w:cs="宋体"/>
      <w:lang w:val="zh-CN"/>
    </w:rPr>
  </w:style>
  <w:style w:type="paragraph" w:styleId="1263" w:customStyle="1">
    <w:name w:val="列表内容"/>
    <w:basedOn w:val="722"/>
    <w:next w:val="722"/>
    <w:uiPriority w:val="99"/>
    <w:qFormat/>
    <w:pPr>
      <w:ind w:left="840" w:hanging="420"/>
      <w:jc w:val="left"/>
      <w:widowControl/>
      <w:tabs>
        <w:tab w:val="left" w:pos="840" w:leader="none"/>
      </w:tabs>
    </w:pPr>
    <w:rPr>
      <w:sz w:val="18"/>
      <w:szCs w:val="24"/>
    </w:rPr>
  </w:style>
  <w:style w:type="paragraph" w:styleId="1264" w:customStyle="1">
    <w:name w:val="马刚标题1"/>
    <w:basedOn w:val="723"/>
    <w:next w:val="722"/>
    <w:uiPriority w:val="99"/>
    <w:qFormat/>
    <w:pPr>
      <w:ind w:left="567" w:hanging="567"/>
      <w:jc w:val="left"/>
      <w:keepLines/>
      <w:spacing w:before="40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65" w:customStyle="1">
    <w:name w:val="Char Char Char Char Char Char Char Char Char1"/>
    <w:basedOn w:val="722"/>
    <w:uiPriority w:val="99"/>
    <w:qFormat/>
    <w:pPr>
      <w:ind w:left="360" w:hanging="360"/>
      <w:tabs>
        <w:tab w:val="left" w:pos="360" w:leader="none"/>
      </w:tabs>
    </w:pPr>
    <w:rPr>
      <w:sz w:val="24"/>
      <w:szCs w:val="24"/>
    </w:rPr>
  </w:style>
  <w:style w:type="paragraph" w:styleId="1266" w:customStyle="1">
    <w:name w:val="Char Char Char Char Char Char Char Char Char Char Char Char Char Char Char Char Char Char Char Char Char Char Char1"/>
    <w:basedOn w:val="722"/>
    <w:uiPriority w:val="99"/>
    <w:qFormat/>
    <w:rPr>
      <w:rFonts w:ascii="Tahoma" w:hAnsi="Tahoma" w:cs="Tahoma"/>
      <w:sz w:val="24"/>
    </w:rPr>
  </w:style>
  <w:style w:type="paragraph" w:styleId="1267" w:customStyle="1">
    <w:name w:val="中等深浅网格 1 - 强调文字颜色 21"/>
    <w:basedOn w:val="722"/>
    <w:uiPriority w:val="0"/>
    <w:qFormat/>
    <w:pPr>
      <w:ind w:firstLine="420"/>
    </w:pPr>
    <w:rPr>
      <w:rFonts w:ascii="Calibri" w:hAnsi="Calibri"/>
      <w:szCs w:val="22"/>
    </w:rPr>
  </w:style>
  <w:style w:type="paragraph" w:styleId="1268" w:customStyle="1">
    <w:name w:val="Char12"/>
    <w:basedOn w:val="722"/>
    <w:uiPriority w:val="99"/>
    <w:qFormat/>
    <w:rPr>
      <w:rFonts w:ascii="仿宋_GB2312" w:hAnsi="宋体" w:eastAsia="仿宋_GB2312" w:cs="宋体"/>
      <w:b/>
      <w:sz w:val="32"/>
      <w:szCs w:val="32"/>
    </w:rPr>
  </w:style>
  <w:style w:type="paragraph" w:styleId="1269" w:customStyle="1">
    <w:name w:val="样式4 Char"/>
    <w:basedOn w:val="722"/>
    <w:uiPriority w:val="99"/>
    <w:qFormat/>
    <w:pPr>
      <w:ind w:firstLine="480"/>
      <w:jc w:val="left"/>
      <w:spacing w:line="360" w:lineRule="auto"/>
      <w:widowControl/>
    </w:pPr>
    <w:rPr>
      <w:rFonts w:cs="宋体"/>
      <w:color w:val="000000"/>
      <w:sz w:val="24"/>
      <w:szCs w:val="24"/>
    </w:rPr>
  </w:style>
  <w:style w:type="paragraph" w:styleId="1270" w:customStyle="1">
    <w:name w:val="列出段落3"/>
    <w:basedOn w:val="722"/>
    <w:uiPriority w:val="99"/>
    <w:qFormat/>
    <w:pPr>
      <w:contextualSpacing/>
      <w:ind w:left="720"/>
      <w:jc w:val="left"/>
      <w:widowControl/>
    </w:pPr>
    <w:rPr>
      <w:rFonts w:ascii="Arial" w:hAnsi="Arial" w:eastAsia="黑体"/>
      <w:sz w:val="24"/>
      <w:szCs w:val="24"/>
      <w:lang w:eastAsia="en-US"/>
    </w:rPr>
  </w:style>
  <w:style w:type="paragraph" w:styleId="1271" w:customStyle="1">
    <w:name w:val="样式 标题 2第一章 标题 2Heading 2 HiddenHeading 2 CCBSheading 2H2h2..."/>
    <w:basedOn w:val="724"/>
    <w:uiPriority w:val="99"/>
    <w:qFormat/>
    <w:pPr>
      <w:ind w:left="360" w:hanging="360"/>
      <w:jc w:val="center"/>
      <w:tabs>
        <w:tab w:val="left" w:pos="360" w:leader="none"/>
      </w:tabs>
    </w:pPr>
    <w:rPr>
      <w:rFonts w:ascii="黑体" w:hAnsi="Times New Roman" w:eastAsia="黑体" w:cs="宋体"/>
      <w:b/>
      <w:sz w:val="32"/>
      <w:szCs w:val="20"/>
    </w:rPr>
  </w:style>
  <w:style w:type="paragraph" w:styleId="1272" w:customStyle="1">
    <w:name w:val="论文正文"/>
    <w:basedOn w:val="760"/>
    <w:uiPriority w:val="99"/>
    <w:qFormat/>
    <w:pPr>
      <w:ind w:left="0" w:firstLine="200"/>
      <w:jc w:val="left"/>
      <w:spacing w:line="360" w:lineRule="auto"/>
    </w:pPr>
    <w:rPr>
      <w:rFonts w:ascii="Times New Roman" w:hAnsi="Times New Roman" w:cs="Times New Roman"/>
      <w:sz w:val="28"/>
      <w:szCs w:val="24"/>
    </w:rPr>
  </w:style>
  <w:style w:type="paragraph" w:styleId="1273" w:customStyle="1">
    <w:name w:val="小四 段落 宋体 Char Char Char"/>
    <w:basedOn w:val="740"/>
    <w:uiPriority w:val="99"/>
    <w:qFormat/>
    <w:pPr>
      <w:ind w:left="0" w:right="-33" w:firstLine="545"/>
      <w:jc w:val="left"/>
      <w:spacing w:line="360" w:lineRule="auto"/>
      <w:tabs>
        <w:tab w:val="clear" w:pos="2952" w:leader="none"/>
      </w:tabs>
    </w:pPr>
    <w:rPr>
      <w:sz w:val="24"/>
    </w:rPr>
  </w:style>
  <w:style w:type="paragraph" w:styleId="1274" w:customStyle="1">
    <w:name w:val="正文 + 宋体"/>
    <w:basedOn w:val="722"/>
    <w:uiPriority w:val="99"/>
    <w:qFormat/>
    <w:pPr>
      <w:ind w:firstLine="420"/>
      <w:spacing w:line="360" w:lineRule="auto"/>
    </w:pPr>
    <w:rPr>
      <w:szCs w:val="24"/>
    </w:rPr>
  </w:style>
  <w:style w:type="paragraph" w:styleId="1275" w:customStyle="1">
    <w:name w:val="表格"/>
    <w:basedOn w:val="722"/>
    <w:uiPriority w:val="99"/>
    <w:qFormat/>
    <w:pPr>
      <w:ind w:firstLine="21"/>
    </w:pPr>
    <w:rPr>
      <w:rFonts w:ascii="宋体" w:hAnsi="宋体" w:cs="宋体"/>
      <w:sz w:val="20"/>
    </w:rPr>
  </w:style>
  <w:style w:type="paragraph" w:styleId="1276" w:customStyle="1">
    <w:name w:val="Char Char Char Char Char Char Char Char Char Char Char Char Char Char1"/>
    <w:basedOn w:val="722"/>
    <w:uiPriority w:val="99"/>
    <w:qFormat/>
    <w:rPr>
      <w:rFonts w:ascii="Tahoma" w:hAnsi="Tahoma"/>
      <w:sz w:val="24"/>
    </w:rPr>
  </w:style>
  <w:style w:type="paragraph" w:styleId="1277" w:customStyle="1">
    <w:name w:val="样式3"/>
    <w:basedOn w:val="722"/>
    <w:next w:val="722"/>
    <w:uiPriority w:val="99"/>
    <w:qFormat/>
    <w:pPr>
      <w:spacing w:line="360" w:lineRule="auto"/>
    </w:pPr>
  </w:style>
  <w:style w:type="paragraph" w:styleId="1278" w:customStyle="1">
    <w:name w:val="Char Char Char Char Char Char Char1"/>
    <w:basedOn w:val="722"/>
    <w:uiPriority w:val="99"/>
    <w:qFormat/>
    <w:pPr>
      <w:jc w:val="left"/>
    </w:pPr>
    <w:rPr>
      <w:rFonts w:ascii="Tahoma" w:hAnsi="Tahoma"/>
      <w:sz w:val="24"/>
    </w:rPr>
  </w:style>
  <w:style w:type="paragraph" w:styleId="1279" w:customStyle="1">
    <w:name w:val="Char Char Char Char Char Char Char Char Char Char Char1"/>
    <w:basedOn w:val="722"/>
    <w:uiPriority w:val="99"/>
    <w:qFormat/>
    <w:rPr>
      <w:rFonts w:ascii="Tahoma" w:hAnsi="Tahoma"/>
      <w:sz w:val="24"/>
    </w:rPr>
  </w:style>
  <w:style w:type="paragraph" w:styleId="1280" w:customStyle="1">
    <w:name w:val="正文lzq"/>
    <w:basedOn w:val="722"/>
    <w:uiPriority w:val="99"/>
    <w:qFormat/>
    <w:pPr>
      <w:ind w:firstLine="480"/>
      <w:spacing w:line="360" w:lineRule="auto"/>
    </w:pPr>
    <w:rPr>
      <w:sz w:val="24"/>
    </w:rPr>
  </w:style>
  <w:style w:type="paragraph" w:styleId="1281" w:customStyle="1">
    <w:name w:val="方案正文"/>
    <w:basedOn w:val="722"/>
    <w:uiPriority w:val="99"/>
    <w:qFormat/>
    <w:pPr>
      <w:ind w:firstLine="359"/>
      <w:jc w:val="left"/>
      <w:spacing w:before="156" w:line="360" w:lineRule="auto"/>
    </w:pPr>
    <w:rPr>
      <w:rFonts w:ascii="Arial" w:hAnsi="Arial" w:cs="宋体"/>
      <w:sz w:val="24"/>
      <w:szCs w:val="21"/>
    </w:rPr>
  </w:style>
  <w:style w:type="paragraph" w:styleId="1282" w:customStyle="1">
    <w:name w:val="样式 标题 3H3sect1.2.3BOD 0Heading 3 - oldh3l3CTLevel 3 Head..."/>
    <w:basedOn w:val="725"/>
    <w:uiPriority w:val="99"/>
    <w:qFormat/>
    <w:pPr>
      <w:jc w:val="left"/>
    </w:pPr>
    <w:rPr>
      <w:rFonts w:cs="宋体"/>
      <w:bCs/>
      <w:sz w:val="30"/>
    </w:rPr>
  </w:style>
  <w:style w:type="paragraph" w:styleId="1283" w:customStyle="1">
    <w:name w:val="Bullets L1"/>
    <w:basedOn w:val="722"/>
    <w:uiPriority w:val="99"/>
    <w:qFormat/>
    <w:pPr>
      <w:ind w:left="360" w:hanging="360"/>
      <w:jc w:val="left"/>
      <w:spacing w:before="60" w:after="60"/>
      <w:widowControl/>
      <w:tabs>
        <w:tab w:val="left" w:pos="360" w:leader="none"/>
      </w:tabs>
    </w:pPr>
    <w:rPr>
      <w:rFonts w:ascii="Arial" w:hAnsi="Arial"/>
      <w:sz w:val="20"/>
    </w:rPr>
  </w:style>
  <w:style w:type="paragraph" w:styleId="1284" w:customStyle="1">
    <w:name w:val="xl45"/>
    <w:basedOn w:val="722"/>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85" w:customStyle="1">
    <w:name w:val="公文标题 2"/>
    <w:basedOn w:val="722"/>
    <w:next w:val="1147"/>
    <w:uiPriority w:val="99"/>
    <w:qFormat/>
    <w:pPr>
      <w:outlineLvl w:val="1"/>
    </w:pPr>
    <w:rPr>
      <w:rFonts w:ascii="仿宋_GB2312" w:hAnsi="宋体" w:eastAsia="仿宋_GB2312"/>
      <w:sz w:val="28"/>
      <w:szCs w:val="24"/>
    </w:rPr>
  </w:style>
  <w:style w:type="paragraph" w:styleId="1286" w:customStyle="1">
    <w:name w:val="正文 + Arial Char"/>
    <w:basedOn w:val="722"/>
    <w:uiPriority w:val="99"/>
    <w:qFormat/>
    <w:pPr>
      <w:ind w:left="315" w:hanging="315"/>
      <w:spacing w:line="300" w:lineRule="auto"/>
      <w:widowControl/>
      <w:tabs>
        <w:tab w:val="left" w:pos="315" w:leader="none"/>
      </w:tabs>
    </w:pPr>
    <w:rPr>
      <w:rFonts w:ascii="Arial" w:hAnsi="Arial" w:cs="Arial"/>
      <w:b/>
      <w:color w:val="000000"/>
    </w:rPr>
  </w:style>
  <w:style w:type="paragraph" w:styleId="1287" w:customStyle="1">
    <w:name w:val="正文（文本）"/>
    <w:uiPriority w:val="99"/>
    <w:qFormat/>
    <w:pPr>
      <w:jc w:val="center"/>
      <w:spacing w:line="360" w:lineRule="auto"/>
      <w:widowControl w:val="off"/>
    </w:pPr>
    <w:rPr>
      <w:rFonts w:ascii="Calibri" w:hAnsi="宋体" w:eastAsia="宋体" w:cs="Times New Roman"/>
      <w:sz w:val="28"/>
      <w:szCs w:val="28"/>
      <w:lang w:val="en-US" w:eastAsia="zh-CN" w:bidi="ar-SA"/>
    </w:rPr>
  </w:style>
  <w:style w:type="paragraph" w:styleId="1288" w:customStyle="1">
    <w:name w:val="[Normal]"/>
    <w:uiPriority w:val="0"/>
    <w:qFormat/>
    <w:rPr>
      <w:rFonts w:ascii="宋体" w:hAnsi="宋体" w:eastAsia="宋体" w:cs="Times New Roman"/>
      <w:sz w:val="24"/>
      <w:szCs w:val="22"/>
      <w:lang w:val="zh-CN" w:eastAsia="zh-CN" w:bidi="ar-SA"/>
    </w:rPr>
  </w:style>
  <w:style w:type="character" w:styleId="1289" w:customStyle="1">
    <w:name w:val="NormalCharacter"/>
    <w:uiPriority w:val="0"/>
    <w:qFormat/>
  </w:style>
  <w:style w:type="paragraph" w:styleId="1290" w:customStyle="1">
    <w:name w:val="NormalIndent"/>
    <w:basedOn w:val="722"/>
    <w:link w:val="1291"/>
    <w:uiPriority w:val="0"/>
    <w:qFormat/>
    <w:pPr>
      <w:ind w:firstLine="420"/>
      <w:widowControl/>
    </w:pPr>
    <w:rPr>
      <w:szCs w:val="24"/>
    </w:rPr>
  </w:style>
  <w:style w:type="character" w:styleId="1291" w:customStyle="1">
    <w:name w:val="UserStyle_1"/>
    <w:link w:val="1290"/>
    <w:uiPriority w:val="0"/>
    <w:qFormat/>
    <w:rPr>
      <w:sz w:val="21"/>
      <w:szCs w:val="24"/>
    </w:rPr>
  </w:style>
  <w:style w:type="paragraph" w:styleId="1292" w:customStyle="1">
    <w:name w:val="标准文件_标准正文"/>
    <w:basedOn w:val="722"/>
    <w:uiPriority w:val="99"/>
    <w:qFormat/>
    <w:pPr>
      <w:ind w:firstLine="560"/>
      <w:jc w:val="left"/>
      <w:spacing w:line="300" w:lineRule="auto"/>
      <w:widowControl/>
    </w:pPr>
    <w:rPr>
      <w:rFonts w:ascii="宋体" w:hAnsi="宋体" w:cs="Calibri"/>
      <w:bCs/>
      <w:color w:val="000000"/>
      <w:sz w:val="28"/>
      <w:szCs w:val="28"/>
    </w:rPr>
  </w:style>
  <w:style w:type="character" w:styleId="1293" w:customStyle="1">
    <w:name w:val="标题 3 字符"/>
    <w:link w:val="725"/>
    <w:uiPriority w:val="0"/>
    <w:qFormat/>
    <w:rPr>
      <w:rFonts w:ascii="宋体" w:hAnsi="宋体"/>
      <w:b/>
      <w:sz w:val="21"/>
      <w:szCs w:val="21"/>
      <w:shd w:val="clear" w:color="auto" w:fill="ffffff"/>
    </w:rPr>
  </w:style>
  <w:style w:type="character" w:styleId="1294" w:customStyle="1">
    <w:name w:val="脚注文本 字符"/>
    <w:basedOn w:val="732"/>
    <w:link w:val="772"/>
    <w:uiPriority w:val="99"/>
    <w:qFormat/>
    <w:rPr>
      <w:sz w:val="18"/>
      <w:szCs w:val="18"/>
    </w:rPr>
  </w:style>
  <w:style w:type="character" w:styleId="1295" w:customStyle="1">
    <w:name w:val="尾注文本 字符"/>
    <w:basedOn w:val="732"/>
    <w:link w:val="761"/>
    <w:uiPriority w:val="99"/>
    <w:qFormat/>
    <w:rPr>
      <w:szCs w:val="24"/>
    </w:rPr>
  </w:style>
  <w:style w:type="character" w:styleId="1296" w:customStyle="1">
    <w:name w:val="标题 字符"/>
    <w:link w:val="784"/>
    <w:uiPriority w:val="0"/>
    <w:qFormat/>
    <w:rPr>
      <w:rFonts w:eastAsia="黑体" w:cstheme="majorBidi"/>
      <w:b/>
      <w:sz w:val="28"/>
      <w:lang w:val="en-GB"/>
    </w:rPr>
  </w:style>
  <w:style w:type="character" w:styleId="1297" w:customStyle="1">
    <w:name w:val="签名 字符"/>
    <w:basedOn w:val="732"/>
    <w:link w:val="765"/>
    <w:uiPriority w:val="99"/>
    <w:qFormat/>
    <w:rPr>
      <w:rFonts w:eastAsia="仿宋_GB2312"/>
      <w:sz w:val="24"/>
    </w:rPr>
  </w:style>
  <w:style w:type="character" w:styleId="1298" w:customStyle="1">
    <w:name w:val="副标题 字符"/>
    <w:basedOn w:val="732"/>
    <w:link w:val="770"/>
    <w:uiPriority w:val="99"/>
    <w:qFormat/>
    <w:rPr>
      <w:rFonts w:ascii="Cambria" w:hAnsi="Cambria" w:cstheme="majorBidi"/>
      <w:i/>
      <w:iCs/>
      <w:spacing w:val="13"/>
      <w:sz w:val="24"/>
      <w:szCs w:val="24"/>
      <w:lang w:eastAsia="en-US" w:bidi="en-US"/>
    </w:rPr>
  </w:style>
  <w:style w:type="character" w:styleId="1299" w:customStyle="1">
    <w:name w:val="称呼 字符"/>
    <w:basedOn w:val="732"/>
    <w:link w:val="746"/>
    <w:uiPriority w:val="99"/>
    <w:qFormat/>
    <w:rPr>
      <w:rFonts w:ascii="仿宋_GB2312" w:eastAsia="仿宋_GB2312"/>
      <w:sz w:val="28"/>
    </w:rPr>
  </w:style>
  <w:style w:type="character" w:styleId="1300" w:customStyle="1">
    <w:name w:val="HTML 预设格式 字符"/>
    <w:link w:val="781"/>
    <w:uiPriority w:val="0"/>
    <w:qFormat/>
    <w:rPr>
      <w:rFonts w:ascii="黑体" w:hAnsi="Courier New" w:eastAsia="黑体" w:cs="Courier New"/>
    </w:rPr>
  </w:style>
  <w:style w:type="character" w:styleId="1301" w:customStyle="1">
    <w:name w:val="无间隔 字符"/>
    <w:link w:val="1008"/>
    <w:uiPriority w:val="99"/>
    <w:qFormat/>
    <w:rPr>
      <w:rFonts w:ascii="Calibri" w:hAnsi="Calibri" w:eastAsia="微软雅黑"/>
      <w:sz w:val="24"/>
      <w:szCs w:val="22"/>
    </w:rPr>
  </w:style>
  <w:style w:type="paragraph" w:styleId="1302">
    <w:name w:val="Quote"/>
    <w:basedOn w:val="722"/>
    <w:next w:val="722"/>
    <w:link w:val="1303"/>
    <w:uiPriority w:val="99"/>
    <w:qFormat/>
    <w:pPr>
      <w:ind w:left="360" w:right="360"/>
      <w:jc w:val="left"/>
      <w:spacing w:before="200" w:line="276" w:lineRule="auto"/>
      <w:widowControl/>
    </w:pPr>
    <w:rPr>
      <w:rFonts w:ascii="Calibri" w:hAnsi="Calibri"/>
      <w:i/>
      <w:iCs/>
      <w:sz w:val="22"/>
      <w:szCs w:val="22"/>
      <w:lang w:eastAsia="en-US" w:bidi="en-US"/>
    </w:rPr>
  </w:style>
  <w:style w:type="character" w:styleId="1303" w:customStyle="1">
    <w:name w:val="引用 字符"/>
    <w:link w:val="1302"/>
    <w:uiPriority w:val="99"/>
    <w:qFormat/>
    <w:rPr>
      <w:rFonts w:ascii="Calibri" w:hAnsi="Calibri"/>
      <w:i/>
      <w:iCs/>
      <w:sz w:val="22"/>
      <w:szCs w:val="22"/>
      <w:lang w:eastAsia="en-US" w:bidi="en-US"/>
    </w:rPr>
  </w:style>
  <w:style w:type="paragraph" w:styleId="1304">
    <w:name w:val="Intense Quote"/>
    <w:basedOn w:val="722"/>
    <w:next w:val="722"/>
    <w:link w:val="1305"/>
    <w:uiPriority w:val="99"/>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305" w:customStyle="1">
    <w:name w:val="明显引用 字符"/>
    <w:link w:val="1304"/>
    <w:uiPriority w:val="99"/>
    <w:qFormat/>
    <w:rPr>
      <w:rFonts w:ascii="Calibri" w:hAnsi="Calibri"/>
      <w:b/>
      <w:bCs/>
      <w:i/>
      <w:iCs/>
      <w:sz w:val="22"/>
      <w:szCs w:val="22"/>
      <w:lang w:eastAsia="en-US" w:bidi="en-US"/>
    </w:rPr>
  </w:style>
  <w:style w:type="paragraph" w:styleId="1306" w:customStyle="1">
    <w:name w:val="TOC 标题11"/>
    <w:basedOn w:val="723"/>
    <w:next w:val="722"/>
    <w:uiPriority w:val="39"/>
    <w:semiHidden/>
    <w:unhideWhenUsed/>
    <w:qFormat/>
    <w:pPr>
      <w:jc w:val="left"/>
      <w:keepLines/>
      <w:keepNext/>
      <w:spacing w:before="480" w:line="276" w:lineRule="auto"/>
      <w:widowControl/>
      <w:tabs>
        <w:tab w:val="clear" w:pos="1440" w:leader="none"/>
        <w:tab w:val="clear" w:pos="5670" w:leader="none"/>
      </w:tabs>
      <w:outlineLvl w:val="9"/>
    </w:pPr>
    <w:rPr>
      <w:rFonts w:asciiTheme="majorHAnsi" w:hAnsiTheme="majorHAnsi" w:eastAsiaTheme="majorEastAsia" w:cstheme="majorBidi"/>
      <w:bCs/>
      <w:color w:val="376092" w:themeColor="accent1" w:themeShade="BF"/>
      <w:sz w:val="28"/>
      <w:szCs w:val="28"/>
    </w:rPr>
  </w:style>
  <w:style w:type="paragraph" w:styleId="1307" w:customStyle="1">
    <w:name w:val="TOC 标题2"/>
    <w:basedOn w:val="723"/>
    <w:next w:val="722"/>
    <w:uiPriority w:val="39"/>
    <w:semiHidden/>
    <w:unhideWhenUsed/>
    <w:qFormat/>
    <w:pPr>
      <w:jc w:val="left"/>
      <w:keepLines/>
      <w:keepNext/>
      <w:spacing w:before="480" w:line="276" w:lineRule="auto"/>
      <w:widowControl/>
      <w:tabs>
        <w:tab w:val="clear" w:pos="1440" w:leader="none"/>
        <w:tab w:val="clear" w:pos="5670" w:leader="none"/>
      </w:tabs>
      <w:outlineLvl w:val="9"/>
    </w:pPr>
    <w:rPr>
      <w:rFonts w:asciiTheme="majorHAnsi" w:hAnsiTheme="majorHAnsi" w:eastAsiaTheme="majorEastAsia" w:cstheme="majorBidi"/>
      <w:bCs/>
      <w:color w:val="376092" w:themeColor="accent1" w:themeShade="BF"/>
      <w:sz w:val="28"/>
      <w:szCs w:val="28"/>
    </w:rPr>
  </w:style>
  <w:style w:type="character" w:styleId="1308" w:customStyle="1">
    <w:name w:val="kuan"/>
    <w:uiPriority w:val="99"/>
    <w:qFormat/>
  </w:style>
  <w:style w:type="character" w:styleId="1309" w:customStyle="1">
    <w:name w:val="font41"/>
    <w:basedOn w:val="732"/>
    <w:uiPriority w:val="0"/>
    <w:qFormat/>
    <w:rPr>
      <w:rFonts w:hint="eastAsia" w:ascii="宋体" w:hAnsi="宋体" w:eastAsia="宋体" w:cs="宋体"/>
      <w:color w:val="000000"/>
      <w:sz w:val="20"/>
      <w:szCs w:val="20"/>
      <w:u w:val="none"/>
    </w:rPr>
  </w:style>
  <w:style w:type="character" w:styleId="1310" w:customStyle="1">
    <w:name w:val="font61"/>
    <w:basedOn w:val="732"/>
    <w:uiPriority w:val="0"/>
    <w:qFormat/>
    <w:rPr>
      <w:rFonts w:hint="eastAsia" w:ascii="宋体" w:hAnsi="宋体" w:eastAsia="宋体" w:cs="宋体"/>
      <w:color w:val="000000"/>
      <w:sz w:val="20"/>
      <w:szCs w:val="20"/>
      <w:u w:val="none"/>
    </w:rPr>
  </w:style>
  <w:style w:type="character" w:styleId="1311" w:customStyle="1">
    <w:name w:val="font151"/>
    <w:basedOn w:val="732"/>
    <w:uiPriority w:val="0"/>
    <w:qFormat/>
    <w:rPr>
      <w:rFonts w:hint="default" w:ascii="Times New Roman" w:hAnsi="Times New Roman" w:cs="Times New Roman"/>
      <w:color w:val="000000"/>
      <w:sz w:val="20"/>
      <w:szCs w:val="20"/>
      <w:u w:val="none"/>
    </w:rPr>
  </w:style>
  <w:style w:type="character" w:styleId="1312" w:customStyle="1">
    <w:name w:val="font31"/>
    <w:basedOn w:val="732"/>
    <w:uiPriority w:val="0"/>
    <w:qFormat/>
    <w:rPr>
      <w:rFonts w:hint="eastAsia" w:ascii="宋体" w:hAnsi="宋体" w:eastAsia="宋体" w:cs="宋体"/>
      <w:color w:val="000000"/>
      <w:sz w:val="20"/>
      <w:szCs w:val="20"/>
      <w:u w:val="none"/>
    </w:rPr>
  </w:style>
  <w:style w:type="character" w:styleId="1313" w:customStyle="1">
    <w:name w:val="font21"/>
    <w:basedOn w:val="732"/>
    <w:uiPriority w:val="0"/>
    <w:qFormat/>
    <w:rPr>
      <w:rFonts w:hint="eastAsia" w:ascii="宋体" w:hAnsi="宋体" w:eastAsia="宋体" w:cs="宋体"/>
      <w:color w:val="000000"/>
      <w:sz w:val="20"/>
      <w:szCs w:val="20"/>
      <w:u w:val="none"/>
    </w:rPr>
  </w:style>
  <w:style w:type="character" w:styleId="1314" w:customStyle="1">
    <w:name w:val="font101"/>
    <w:basedOn w:val="732"/>
    <w:uiPriority w:val="0"/>
    <w:qFormat/>
    <w:rPr>
      <w:rFonts w:hint="default" w:ascii="Times New Roman" w:hAnsi="Times New Roman" w:cs="Times New Roman"/>
      <w:color w:val="000000"/>
      <w:sz w:val="20"/>
      <w:szCs w:val="20"/>
      <w:u w:val="none"/>
    </w:rPr>
  </w:style>
  <w:style w:type="character" w:styleId="1315" w:customStyle="1">
    <w:name w:val="font71"/>
    <w:basedOn w:val="732"/>
    <w:uiPriority w:val="0"/>
    <w:qFormat/>
    <w:rPr>
      <w:rFonts w:hint="eastAsia" w:ascii="宋体" w:hAnsi="宋体" w:eastAsia="宋体" w:cs="宋体"/>
      <w:color w:val="ff0000"/>
      <w:sz w:val="20"/>
      <w:szCs w:val="20"/>
      <w:u w:val="none"/>
    </w:rPr>
  </w:style>
  <w:style w:type="character" w:styleId="1316" w:customStyle="1">
    <w:name w:val="font51"/>
    <w:basedOn w:val="732"/>
    <w:uiPriority w:val="0"/>
    <w:qFormat/>
    <w:rPr>
      <w:rFonts w:hint="eastAsia" w:ascii="宋体" w:hAnsi="宋体" w:eastAsia="宋体" w:cs="宋体"/>
      <w:color w:val="000000"/>
      <w:sz w:val="20"/>
      <w:szCs w:val="20"/>
      <w:u w:val="none"/>
    </w:rPr>
  </w:style>
  <w:style w:type="character" w:styleId="1317" w:customStyle="1">
    <w:name w:val="font121"/>
    <w:basedOn w:val="732"/>
    <w:uiPriority w:val="0"/>
    <w:qFormat/>
    <w:rPr>
      <w:rFonts w:hint="default" w:ascii="Times New Roman" w:hAnsi="Times New Roman" w:cs="Times New Roman"/>
      <w:color w:val="000000"/>
      <w:sz w:val="20"/>
      <w:szCs w:val="20"/>
      <w:u w:val="none"/>
    </w:rPr>
  </w:style>
  <w:style w:type="numbering" w:styleId="331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RZM</dc:creator>
  <cp:lastModifiedBy>明丽南京</cp:lastModifiedBy>
  <cp:revision>3</cp:revision>
  <dcterms:created xsi:type="dcterms:W3CDTF">2026-10-16T04:45:00Z</dcterms:created>
  <dcterms:modified xsi:type="dcterms:W3CDTF">2026-10-23T06:02:41Z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EC00369E34A14E9CAE5C72D4EE26B9D0_13</vt:lpwstr>
  </property>
  <property fmtid="{D5CDD505-2E9C-101B-9397-08002B2CF9AE}" pid="4" name="KSOTemplateDocerSaveRecord">
    <vt:lpwstr>eyJoZGlkIjoiYjU0YTJiZmYwMjEzMDc0NmIzYjI2ZGVkMDc5NzdhOTkiLCJ1c2VySWQiOiIxNTE4MjU5MDIxIn0=</vt:lpwstr>
  </property>
</Properties>
</file>